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Mathematician</w:t>
      </w:r>
      <w:r>
        <w:t xml:space="preserve"> </w:t>
      </w:r>
      <w:r>
        <w:t xml:space="preserve">Sales</w:t>
      </w:r>
      <w:r>
        <w:t xml:space="preserve"> </w:t>
      </w:r>
      <w:r>
        <w:t xml:space="preserve">Report:</w:t>
      </w:r>
      <w:r>
        <w:t xml:space="preserve"> </w:t>
      </w:r>
      <w:r>
        <w:t xml:space="preserve">Sudan</w:t>
      </w:r>
      <w:r>
        <w:t xml:space="preserve"> </w:t>
      </w:r>
      <w:r>
        <w:t xml:space="preserve">Khartoum</w:t>
      </w:r>
      <w:r>
        <w:t xml:space="preserve"> </w:t>
      </w:r>
      <w:r>
        <w:t xml:space="preserve">Market</w:t>
      </w:r>
      <w:r>
        <w:t xml:space="preserve"> </w:t>
      </w:r>
      <w:r>
        <w:t xml:space="preserve">Analysis</w:t>
      </w:r>
    </w:p>
    <w:bookmarkStart w:id="27" w:name="X5597e91841219a48e6ea33dd894b1e088a49665"/>
    <w:p>
      <w:pPr>
        <w:pStyle w:val="Heading1"/>
      </w:pPr>
      <w:r>
        <w:t xml:space="preserve">SALES REPORT: MATHEMATICIAN EDUCATIONAL SOLUTIONS IN SUDAN KHARTOUM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Global Education Division</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performance of our flagship educational platform "Mathematician" across Sudan Khartoum's evolving academic landscape. Despite challenging economic conditions, Mathematician achieved a remarkable 37% month-over-month growth in Khartoum, securing 125 new institutional contracts and surpassing Q3 targets by 22%. The report analyzes market dynamics, sales strategies, and future opportunities for sustaining momentum in Sudan's capital city.</w:t>
      </w:r>
    </w:p>
    <w:bookmarkEnd w:id="20"/>
    <w:bookmarkStart w:id="21" w:name="Xa97922b97030d90e3ca0cb7c0f1a4823d31cdfa"/>
    <w:p>
      <w:pPr>
        <w:pStyle w:val="Heading2"/>
      </w:pPr>
      <w:r>
        <w:t xml:space="preserve">II. Market Context: Sudan Khartoum's Educational Imperative</w:t>
      </w:r>
    </w:p>
    <w:p>
      <w:pPr>
        <w:pStyle w:val="FirstParagraph"/>
      </w:pPr>
      <w:r>
        <w:t xml:space="preserve">Sudan Khartoum presents a critical growth frontier for educational technology. With 68% of secondary schools lacking adequate math resources (UNESCO, 2023), the demand for scalable solutions like Mathematician has never been more acute. The Khartoum Education Directorate's recent initiative to modernize STEM curricula created a perfect market catalyst. Our Mathematician platform—delivering AI-powered personalized learning—addresses Sudan's urgent need to improve math proficiency rates, which currently stand at 41% nationally.</w:t>
      </w:r>
    </w:p>
    <w:p>
      <w:pPr>
        <w:pStyle w:val="BodyText"/>
      </w:pPr>
      <w:r>
        <w:t xml:space="preserve">This Sales Report confirms that Khartoum represents 78% of our total Sudanese market penetration, making it the strategic epicenter for our African expansion. The city's concentration of universities (University of Khartoum, Ahfad University), private schools, and government institutions provides a concentrated opportunity to deploy Mathematician at scale.</w:t>
      </w:r>
    </w:p>
    <w:bookmarkEnd w:id="21"/>
    <w:bookmarkStart w:id="22" w:name="X96e75aaf5998a95c64f5be6c5fd4ddc6f8790a4"/>
    <w:p>
      <w:pPr>
        <w:pStyle w:val="Heading2"/>
      </w:pPr>
      <w:r>
        <w:t xml:space="preserve">III. Sales Performance: Key Metrics (Khartoum Focus)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2023</w:t>
            </w:r>
          </w:p>
        </w:tc>
        <w:tc>
          <w:tcPr/>
          <w:p>
            <w:pPr>
              <w:pStyle w:val="Compact"/>
              <w:jc w:val="left"/>
            </w:pPr>
            <w:r>
              <w:t xml:space="preserve">Target</w:t>
            </w:r>
          </w:p>
        </w:tc>
        <w:tc>
          <w:tcPr/>
          <w:p>
            <w:pPr>
              <w:pStyle w:val="Compact"/>
              <w:jc w:val="left"/>
            </w:pPr>
            <w:r>
              <w:t xml:space="preserve">Variance</w:t>
            </w:r>
          </w:p>
        </w:tc>
      </w:tr>
      <w:tr>
        <w:tc>
          <w:tcPr/>
          <w:p>
            <w:pPr>
              <w:pStyle w:val="Compact"/>
              <w:jc w:val="left"/>
            </w:pPr>
            <w:r>
              <w:t xml:space="preserve">New Institutional Contracts (Khartoum)</w:t>
            </w:r>
          </w:p>
        </w:tc>
        <w:tc>
          <w:tcPr/>
          <w:p>
            <w:pPr>
              <w:pStyle w:val="Compact"/>
              <w:jc w:val="left"/>
            </w:pPr>
            <w:r>
              <w:t xml:space="preserve">125</w:t>
            </w:r>
          </w:p>
        </w:tc>
        <w:tc>
          <w:tcPr/>
          <w:p>
            <w:pPr>
              <w:pStyle w:val="Compact"/>
              <w:jc w:val="left"/>
            </w:pPr>
            <w:r>
              <w:t xml:space="preserve">102</w:t>
            </w:r>
          </w:p>
        </w:tc>
        <w:tc>
          <w:tcPr/>
          <w:p>
            <w:pPr>
              <w:pStyle w:val="Compact"/>
              <w:jc w:val="left"/>
            </w:pPr>
            <w:r>
              <w:t xml:space="preserve">+23%</w:t>
            </w:r>
          </w:p>
        </w:tc>
      </w:tr>
      <w:tr>
        <w:tc>
          <w:tcPr/>
          <w:p>
            <w:pPr>
              <w:pStyle w:val="Compact"/>
              <w:jc w:val="left"/>
            </w:pPr>
            <w:r>
              <w:t xml:space="preserve">Revenue Generated (Khartoum)</w:t>
            </w:r>
          </w:p>
        </w:tc>
        <w:tc>
          <w:tcPr/>
          <w:p>
            <w:pPr>
              <w:pStyle w:val="Compact"/>
              <w:jc w:val="left"/>
            </w:pPr>
            <w:r>
              <w:t xml:space="preserve">$87,500</w:t>
            </w:r>
          </w:p>
        </w:tc>
        <w:tc>
          <w:tcPr/>
          <w:p>
            <w:pPr>
              <w:pStyle w:val="Compact"/>
              <w:jc w:val="left"/>
            </w:pPr>
            <w:r>
              <w:t xml:space="preserve">$71,600</w:t>
            </w:r>
          </w:p>
        </w:tc>
        <w:tc>
          <w:tcPr/>
          <w:p>
            <w:pPr>
              <w:pStyle w:val="Compact"/>
              <w:jc w:val="left"/>
            </w:pPr>
            <w:r>
              <w:t xml:space="preserve">+22.2%</w:t>
            </w:r>
          </w:p>
        </w:tc>
      </w:tr>
      <w:tr>
        <w:tc>
          <w:tcPr/>
          <w:p>
            <w:pPr>
              <w:pStyle w:val="Compact"/>
              <w:jc w:val="left"/>
            </w:pPr>
            <w:r>
              <w:t xml:space="preserve">Student Enrollment (Mathematician Platform)</w:t>
            </w:r>
          </w:p>
        </w:tc>
        <w:tc>
          <w:tcPr/>
          <w:p>
            <w:pPr>
              <w:pStyle w:val="Compact"/>
              <w:jc w:val="left"/>
            </w:pPr>
            <w:r>
              <w:t xml:space="preserve">14,390</w:t>
            </w:r>
          </w:p>
        </w:tc>
        <w:tc>
          <w:tcPr/>
          <w:p>
            <w:pPr>
              <w:pStyle w:val="Compact"/>
              <w:jc w:val="left"/>
            </w:pPr>
            <w:r>
              <w:t xml:space="preserve">11,850</w:t>
            </w:r>
          </w:p>
        </w:tc>
        <w:tc>
          <w:tcPr/>
          <w:p>
            <w:pPr>
              <w:pStyle w:val="Compact"/>
              <w:jc w:val="left"/>
            </w:pPr>
            <w:r>
              <w:t xml:space="preserve">+21.4%</w:t>
            </w:r>
          </w:p>
        </w:tc>
      </w:tr>
      <w:tr>
        <w:tc>
          <w:tcPr/>
          <w:p>
            <w:pPr>
              <w:pStyle w:val="Compact"/>
              <w:jc w:val="left"/>
            </w:pPr>
            <w:r>
              <w:t xml:space="preserve">Customer Retention Rate</w:t>
            </w:r>
          </w:p>
        </w:tc>
        <w:tc>
          <w:tcPr/>
          <w:p>
            <w:pPr>
              <w:pStyle w:val="Compact"/>
              <w:jc w:val="left"/>
            </w:pPr>
            <w:r>
              <w:t xml:space="preserve">89%</w:t>
            </w:r>
          </w:p>
        </w:tc>
        <w:tc>
          <w:tcPr/>
          <w:p>
            <w:pPr>
              <w:pStyle w:val="Compact"/>
              <w:jc w:val="left"/>
            </w:pPr>
            <w:r>
              <w:t xml:space="preserve">N/A</w:t>
            </w:r>
          </w:p>
        </w:tc>
        <w:tc>
          <w:tcPr/>
          <w:p>
            <w:pPr>
              <w:pStyle w:val="Compact"/>
              <w:jc w:val="left"/>
            </w:pPr>
            <w:r>
              <w:t xml:space="preserve">+5% YoY</w:t>
            </w:r>
          </w:p>
        </w:tc>
      </w:tr>
    </w:tbl>
    <w:p>
      <w:pPr>
        <w:pStyle w:val="BodyText"/>
      </w:pPr>
      <w:r>
        <w:t xml:space="preserve">The sales trajectory reveals consistent acceleration. In July, we secured 32 contracts with Khartoum-based schools; by September, this surged to 47. Notably, Mathematician's adoption in Khartoum's public schools increased by 187% compared to Q2—driven by the Ministry of Education's pilot program for STEM innovation.</w:t>
      </w:r>
    </w:p>
    <w:bookmarkEnd w:id="22"/>
    <w:bookmarkStart w:id="23" w:name="X84f00b37977df60b42ffc648c2200e28d2fea3b"/>
    <w:p>
      <w:pPr>
        <w:pStyle w:val="Heading2"/>
      </w:pPr>
      <w:r>
        <w:t xml:space="preserve">IV. Strategic Drivers Behind Mathematician Success</w:t>
      </w:r>
    </w:p>
    <w:p>
      <w:pPr>
        <w:pStyle w:val="FirstParagraph"/>
      </w:pPr>
      <w:r>
        <w:t xml:space="preserve">Our team identified three pivotal factors enabling Mathematician's growth in Sudan Khartoum:</w:t>
      </w:r>
    </w:p>
    <w:p>
      <w:pPr>
        <w:numPr>
          <w:ilvl w:val="0"/>
          <w:numId w:val="1001"/>
        </w:numPr>
        <w:pStyle w:val="Compact"/>
      </w:pPr>
      <w:r>
        <w:rPr>
          <w:bCs/>
          <w:b/>
        </w:rPr>
        <w:t xml:space="preserve">Cultural Alignment:</w:t>
      </w:r>
      <w:r>
        <w:t xml:space="preserve"> </w:t>
      </w:r>
      <w:r>
        <w:t xml:space="preserve">The platform was locally adapted with Arabic-language interfaces, Sudanese curriculum mapping, and content featuring local mathematical problems (e.g., crop yield calculations for agricultural students). This resonated deeply with Khartoum educators.</w:t>
      </w:r>
    </w:p>
    <w:p>
      <w:pPr>
        <w:numPr>
          <w:ilvl w:val="0"/>
          <w:numId w:val="1001"/>
        </w:numPr>
        <w:pStyle w:val="Compact"/>
      </w:pPr>
      <w:r>
        <w:rPr>
          <w:bCs/>
          <w:b/>
        </w:rPr>
        <w:t xml:space="preserve">Government Partnership:</w:t>
      </w:r>
      <w:r>
        <w:t xml:space="preserve"> </w:t>
      </w:r>
      <w:r>
        <w:t xml:space="preserve">Collaboration with Khartoum's Education Directorate for a subsidized pilot program enabled 21 public schools to access Mathematician at 70% lower cost. This "proof of concept" accelerated enterprise sales.</w:t>
      </w:r>
    </w:p>
    <w:p>
      <w:pPr>
        <w:numPr>
          <w:ilvl w:val="0"/>
          <w:numId w:val="1001"/>
        </w:numPr>
        <w:pStyle w:val="Compact"/>
      </w:pPr>
      <w:r>
        <w:rPr>
          <w:bCs/>
          <w:b/>
        </w:rPr>
        <w:t xml:space="preserve">School-to-School Advocacy:</w:t>
      </w:r>
      <w:r>
        <w:t xml:space="preserve"> </w:t>
      </w:r>
      <w:r>
        <w:t xml:space="preserve">Early adopters like Khartoum International School demonstrated 34% higher math pass rates, generating organic referrals across the city's school network.</w:t>
      </w:r>
    </w:p>
    <w:bookmarkEnd w:id="23"/>
    <w:bookmarkStart w:id="24" w:name="v.-challenges-in-sudan-khartoum-market"/>
    <w:p>
      <w:pPr>
        <w:pStyle w:val="Heading2"/>
      </w:pPr>
      <w:r>
        <w:t xml:space="preserve">V. Challenges in Sudan Khartoum Market</w:t>
      </w:r>
    </w:p>
    <w:p>
      <w:pPr>
        <w:pStyle w:val="FirstParagraph"/>
      </w:pPr>
      <w:r>
        <w:t xml:space="preserve">Despite progress, our Sales Report highlights significant hurdles requiring ongoing mitigation:</w:t>
      </w:r>
    </w:p>
    <w:p>
      <w:pPr>
        <w:numPr>
          <w:ilvl w:val="0"/>
          <w:numId w:val="1002"/>
        </w:numPr>
        <w:pStyle w:val="Compact"/>
      </w:pPr>
      <w:r>
        <w:rPr>
          <w:bCs/>
          <w:b/>
        </w:rPr>
        <w:t xml:space="preserve">Infrastructure Limitations:</w:t>
      </w:r>
      <w:r>
        <w:t xml:space="preserve"> </w:t>
      </w:r>
      <w:r>
        <w:t xml:space="preserve">39% of Khartoum schools lack reliable internet (World Bank, 2023). We addressed this by deploying offline Mathematiian modules via USB drives, serving 68% of new contracts.</w:t>
      </w:r>
    </w:p>
    <w:p>
      <w:pPr>
        <w:numPr>
          <w:ilvl w:val="0"/>
          <w:numId w:val="1002"/>
        </w:numPr>
        <w:pStyle w:val="Compact"/>
      </w:pPr>
      <w:r>
        <w:rPr>
          <w:bCs/>
          <w:b/>
        </w:rPr>
        <w:t xml:space="preserve">Currency Volatility:</w:t>
      </w:r>
      <w:r>
        <w:t xml:space="preserve"> </w:t>
      </w:r>
      <w:r>
        <w:t xml:space="preserve">The Sudanese pound's devaluation increased operational costs by 19%. We introduced tiered pricing in USD and SDG to maintain accessibility.</w:t>
      </w:r>
    </w:p>
    <w:p>
      <w:pPr>
        <w:numPr>
          <w:ilvl w:val="0"/>
          <w:numId w:val="1002"/>
        </w:numPr>
        <w:pStyle w:val="Compact"/>
      </w:pPr>
      <w:r>
        <w:rPr>
          <w:bCs/>
          <w:b/>
        </w:rPr>
        <w:t xml:space="preserve">Cultural Adoption Barriers:</w:t>
      </w:r>
      <w:r>
        <w:t xml:space="preserve"> </w:t>
      </w:r>
      <w:r>
        <w:t xml:space="preserve">Initial teacher resistance required 87 training sessions across Khartoum, focusing on how Mathematician reduces administrative burden while enhancing teaching effectiveness.</w:t>
      </w:r>
    </w:p>
    <w:bookmarkEnd w:id="24"/>
    <w:bookmarkStart w:id="25" w:name="Xdbe00965458c35a133606d9f94c68d5518c1863"/>
    <w:p>
      <w:pPr>
        <w:pStyle w:val="Heading2"/>
      </w:pPr>
      <w:r>
        <w:t xml:space="preserve">VI. Future Strategy: Sustaining Mathematician Momentum in Sudan Khartoum</w:t>
      </w:r>
    </w:p>
    <w:p>
      <w:pPr>
        <w:pStyle w:val="FirstParagraph"/>
      </w:pPr>
      <w:r>
        <w:t xml:space="preserve">To capitalize on Q3's success, we propose these targeted actions for Sudan Khartoum:</w:t>
      </w:r>
    </w:p>
    <w:p>
      <w:pPr>
        <w:numPr>
          <w:ilvl w:val="0"/>
          <w:numId w:val="1003"/>
        </w:numPr>
        <w:pStyle w:val="Compact"/>
      </w:pPr>
      <w:r>
        <w:rPr>
          <w:bCs/>
          <w:b/>
        </w:rPr>
        <w:t xml:space="preserve">Expand Government Partnerships:</w:t>
      </w:r>
      <w:r>
        <w:t xml:space="preserve"> </w:t>
      </w:r>
      <w:r>
        <w:t xml:space="preserve">Pursue a full Ministry of Education rollout by Q1 2024, targeting 500 schools across Khartoum State.</w:t>
      </w:r>
    </w:p>
    <w:p>
      <w:pPr>
        <w:numPr>
          <w:ilvl w:val="0"/>
          <w:numId w:val="1003"/>
        </w:numPr>
        <w:pStyle w:val="Compact"/>
      </w:pPr>
      <w:r>
        <w:rPr>
          <w:bCs/>
          <w:b/>
        </w:rPr>
        <w:t xml:space="preserve">Community Engagement:</w:t>
      </w:r>
      <w:r>
        <w:t xml:space="preserve"> </w:t>
      </w:r>
      <w:r>
        <w:t xml:space="preserve">Launch "Mathematician Ambassadors" program training teachers to become peer educators in Khartoum's communities.</w:t>
      </w:r>
    </w:p>
    <w:p>
      <w:pPr>
        <w:numPr>
          <w:ilvl w:val="0"/>
          <w:numId w:val="1003"/>
        </w:numPr>
        <w:pStyle w:val="Compact"/>
      </w:pPr>
      <w:r>
        <w:rPr>
          <w:bCs/>
          <w:b/>
        </w:rPr>
        <w:t xml:space="preserve">Localized Content Development:</w:t>
      </w:r>
      <w:r>
        <w:t xml:space="preserve"> </w:t>
      </w:r>
      <w:r>
        <w:t xml:space="preserve">Partner with University of Khartoum to create Sudan-specific problem sets (e.g., financial math for local markets, engineering applications for Nile River projects).</w:t>
      </w:r>
    </w:p>
    <w:bookmarkEnd w:id="25"/>
    <w:bookmarkStart w:id="26" w:name="X670ede3260c2efd62248cfff01999b18a27d8ca"/>
    <w:p>
      <w:pPr>
        <w:pStyle w:val="Heading2"/>
      </w:pPr>
      <w:r>
        <w:t xml:space="preserve">VII. Conclusion: The Mathematician Advantage in Khartoum</w:t>
      </w:r>
    </w:p>
    <w:p>
      <w:pPr>
        <w:pStyle w:val="FirstParagraph"/>
      </w:pPr>
      <w:r>
        <w:t xml:space="preserve">This Sales Report unequivocally demonstrates that Mathematician is not merely a product but a catalyst for educational transformation in Sudan Khartoum. The platform's adaptability to local needs—paired with strategic government collaboration—has positioned us as the market leader in STEM edtech within Africa's fastest-growing urban education sector.</w:t>
      </w:r>
    </w:p>
    <w:p>
      <w:pPr>
        <w:pStyle w:val="BodyText"/>
      </w:pPr>
      <w:r>
        <w:t xml:space="preserve">As we project forward, the potential for Mathematician in Khartoum remains extraordinary. With 56% of Sudan's student population residing in Greater Khartoum (Central Bureau of Statistics, 2023), and math proficiency directly linked to economic opportunity, our solution addresses a fundamental national priority. The success metrics in this report validate that when educational technology meets cultural relevance—especially through the Mathematician framework—we create sustainable impact where it matters most.</w:t>
      </w:r>
    </w:p>
    <w:p>
      <w:pPr>
        <w:pStyle w:val="BodyText"/>
      </w:pPr>
      <w:r>
        <w:t xml:space="preserve">Our commitment to Sudan Khartoum extends beyond sales; it is an investment in human capital. As we scale Mathematician across the city and into other Sudanese provinces, we will measure success not just in revenue growth, but in the 100,000+ students now gaining confidence through our platform. This Sales Report marks a pivotal moment—where data meets purpose—and reaffirms that Mathematician is precisely where Sudan Khartoum needs educational innovation today.</w:t>
      </w:r>
    </w:p>
    <w:p>
      <w:pPr>
        <w:pStyle w:val="BodyText"/>
      </w:pPr>
      <w:r>
        <w:rPr>
          <w:bCs/>
          <w:b/>
        </w:rPr>
        <w:t xml:space="preserve">Prepared By:</w:t>
      </w:r>
      <w:r>
        <w:t xml:space="preserve"> </w:t>
      </w:r>
      <w:r>
        <w:t xml:space="preserve">Global Education Sales Team</w:t>
      </w:r>
      <w:r>
        <w:br/>
      </w:r>
      <w:r>
        <w:rPr>
          <w:bCs/>
          <w:b/>
        </w:rPr>
        <w:t xml:space="preserve">Signature:</w:t>
      </w:r>
      <w:r>
        <w:t xml:space="preserve"> </w:t>
      </w:r>
      <w:r>
        <w:t xml:space="preserve">Amina Hassan, Regional Director for Sub-Saharan Africa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Mathematician Sales Report: Sudan Khartoum Market Analysis</dc:title>
  <dc:creator/>
  <dc:language>en</dc:language>
  <cp:keywords/>
  <dcterms:created xsi:type="dcterms:W3CDTF">2025-12-11T03:47:58Z</dcterms:created>
  <dcterms:modified xsi:type="dcterms:W3CDTF">2025-12-11T03:47:58Z</dcterms:modified>
</cp:coreProperties>
</file>

<file path=docProps/custom.xml><?xml version="1.0" encoding="utf-8"?>
<Properties xmlns="http://schemas.openxmlformats.org/officeDocument/2006/custom-properties" xmlns:vt="http://schemas.openxmlformats.org/officeDocument/2006/docPropsVTypes"/>
</file>