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Switzerland</w:t>
      </w:r>
      <w:r>
        <w:t xml:space="preserve"> </w:t>
      </w:r>
      <w:r>
        <w:t xml:space="preserve">Zurich</w:t>
      </w:r>
      <w:r>
        <w:t xml:space="preserve"> </w:t>
      </w:r>
      <w:r>
        <w:t xml:space="preserve">Market</w:t>
      </w:r>
      <w:r>
        <w:t xml:space="preserve"> </w:t>
      </w:r>
      <w:r>
        <w:t xml:space="preserve">Analysis</w:t>
      </w:r>
    </w:p>
    <w:bookmarkStart w:id="27" w:name="X880bd1128b924ea6cc1a14f13b28a7d30d2aa81"/>
    <w:p>
      <w:pPr>
        <w:pStyle w:val="Heading1"/>
      </w:pPr>
      <w:r>
        <w:t xml:space="preserve">Sales Report: Mathematician Product Line Performance in Switzerland Zurich</w:t>
      </w:r>
    </w:p>
    <w:bookmarkStart w:id="20" w:name="executive-summary"/>
    <w:p>
      <w:pPr>
        <w:pStyle w:val="Heading2"/>
      </w:pPr>
      <w:r>
        <w:t xml:space="preserve">Executive Summary</w:t>
      </w:r>
    </w:p>
    <w:p>
      <w:pPr>
        <w:pStyle w:val="FirstParagraph"/>
      </w:pPr>
      <w:r>
        <w:t xml:space="preserve">This comprehensive Sales Report details the performance of the Mathematician product line across the Swiss financial and academic hub of Zurich during Q3 2023. The report confirms that our premium mathematics-driven analytics suite—branded as "Mathematician"—has achieved unprecedented traction in Switzerland Zurich, with a 42% year-over-year sales growth. This success stems from targeted positioning within Zurich's unique ecosystem of quantitative finance firms, research institutions, and technology innovators. As the most sophisticated mathematical modeling platform in the European market, Mathematician has become indispensable for Zurich-based institutions navigating complex financial markets and cutting-edge computational challenges.</w:t>
      </w:r>
    </w:p>
    <w:bookmarkEnd w:id="20"/>
    <w:bookmarkStart w:id="21" w:name="Xb25b65ffed2789a65a52cccdfd4e4fe07563ba6"/>
    <w:p>
      <w:pPr>
        <w:pStyle w:val="Heading2"/>
      </w:pPr>
      <w:r>
        <w:t xml:space="preserve">Market Context: Switzerland Zurich's Mathematical Ecosystem</w:t>
      </w:r>
    </w:p>
    <w:p>
      <w:pPr>
        <w:pStyle w:val="FirstParagraph"/>
      </w:pPr>
      <w:r>
        <w:t xml:space="preserve">Zurich stands as Europe's premier center for quantitative finance, home to major banks like UBS and Credit Suisse, leading research institutes (ETH Zurich, University of Zurich), and a dense cluster of fintech innovators. The Swiss financial sector allocates 17% more R&amp;D budget to mathematical modeling than the EU average. This environment creates perfect conditions for our Mathematician platform—engineered specifically to handle high-frequency market simulations, risk assessment under volatility shocks, and AI-driven predictive analytics in compliance with Swiss FINMA regulations.</w:t>
      </w:r>
    </w:p>
    <w:p>
      <w:pPr>
        <w:pStyle w:val="BodyText"/>
      </w:pPr>
      <w:r>
        <w:t xml:space="preserve">Unlike generic analytics tools, Mathematician integrates proprietary algorithms developed by Zurich-based mathematical pioneers. Its localized Swiss German interface and adherence to Zürich financial data sovereignty requirements (including GDPR-compliant data storage within Swiss borders) have been decisive factors in securing enterprise contracts. The platform's ability to process CHF-denominated transactions with millisecond precision—critical for Zurich's trading floors—has become a key differentiator.</w:t>
      </w:r>
    </w:p>
    <w:bookmarkEnd w:id="21"/>
    <w:bookmarkStart w:id="22" w:name="q3-2023-sales-performance-key-metrics"/>
    <w:p>
      <w:pPr>
        <w:pStyle w:val="Heading2"/>
      </w:pPr>
      <w:r>
        <w:t xml:space="preserve">Q3 2023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Q3 2023</w:t>
            </w:r>
          </w:p>
        </w:tc>
        <w:tc>
          <w:tcPr/>
          <w:p>
            <w:pPr>
              <w:pStyle w:val="Compact"/>
              <w:jc w:val="left"/>
            </w:pPr>
            <w:r>
              <w:t xml:space="preserve">Q3 2022 (YoY)</w:t>
            </w:r>
          </w:p>
        </w:tc>
        <w:tc>
          <w:tcPr/>
          <w:p>
            <w:pPr>
              <w:pStyle w:val="Compact"/>
              <w:jc w:val="left"/>
            </w:pPr>
            <w:r>
              <w:t xml:space="preserve">Growth</w:t>
            </w:r>
          </w:p>
        </w:tc>
      </w:tr>
      <w:tr>
        <w:tc>
          <w:tcPr/>
          <w:p>
            <w:pPr>
              <w:pStyle w:val="Compact"/>
              <w:jc w:val="left"/>
            </w:pPr>
            <w:r>
              <w:t xml:space="preserve">Total Revenue (CHF)</w:t>
            </w:r>
          </w:p>
        </w:tc>
        <w:tc>
          <w:tcPr/>
          <w:p>
            <w:pPr>
              <w:pStyle w:val="Compact"/>
              <w:jc w:val="left"/>
            </w:pPr>
            <w:r>
              <w:t xml:space="preserve">8,450,000</w:t>
            </w:r>
          </w:p>
        </w:tc>
        <w:tc>
          <w:tcPr/>
          <w:p>
            <w:pPr>
              <w:pStyle w:val="Compact"/>
              <w:jc w:val="left"/>
            </w:pPr>
            <w:r>
              <w:t xml:space="preserve">5,962,000</w:t>
            </w:r>
          </w:p>
        </w:tc>
        <w:tc>
          <w:tcPr/>
          <w:p>
            <w:pPr>
              <w:pStyle w:val="Compact"/>
              <w:jc w:val="left"/>
            </w:pPr>
            <w:r>
              <w:t xml:space="preserve">+41.7%</w:t>
            </w:r>
          </w:p>
        </w:tc>
      </w:tr>
      <w:tr>
        <w:tc>
          <w:tcPr/>
          <w:p>
            <w:pPr>
              <w:pStyle w:val="Compact"/>
              <w:jc w:val="left"/>
            </w:pPr>
            <w:r>
              <w:t xml:space="preserve">New Enterprise Contracts</w:t>
            </w:r>
          </w:p>
        </w:tc>
        <w:tc>
          <w:tcPr/>
          <w:p>
            <w:pPr>
              <w:pStyle w:val="Compact"/>
              <w:jc w:val="left"/>
            </w:pPr>
            <w:r>
              <w:t xml:space="preserve">23</w:t>
            </w:r>
          </w:p>
        </w:tc>
        <w:tc>
          <w:tcPr/>
          <w:p>
            <w:pPr>
              <w:pStyle w:val="Compact"/>
              <w:jc w:val="left"/>
            </w:pPr>
            <w:r>
              <w:t xml:space="preserve">14</w:t>
            </w:r>
          </w:p>
        </w:tc>
        <w:tc>
          <w:tcPr/>
          <w:p>
            <w:pPr>
              <w:pStyle w:val="Compact"/>
              <w:jc w:val="left"/>
            </w:pPr>
            <w:r>
              <w:t xml:space="preserve">+64.3%</w:t>
            </w:r>
          </w:p>
        </w:tc>
      </w:tr>
      <w:tr>
        <w:tc>
          <w:tcPr/>
          <w:p>
            <w:pPr>
              <w:pStyle w:val="Compact"/>
              <w:jc w:val="left"/>
            </w:pPr>
            <w:r>
              <w:t xml:space="preserve">Key Sector Breakdown (Revenue Share)</w:t>
            </w:r>
          </w:p>
        </w:tc>
        <w:tc>
          <w:tcPr/>
          <w:p>
            <w:pPr>
              <w:pStyle w:val="Compact"/>
            </w:pPr>
          </w:p>
        </w:tc>
        <w:tc>
          <w:tcPr/>
          <w:p>
            <w:pPr>
              <w:pStyle w:val="Compact"/>
            </w:pPr>
          </w:p>
        </w:tc>
        <w:tc>
          <w:tcPr/>
          <w:p>
            <w:pPr>
              <w:pStyle w:val="Compact"/>
            </w:pPr>
          </w:p>
        </w:tc>
      </w:tr>
      <w:tr>
        <w:tc>
          <w:tcPr/>
          <w:p>
            <w:pPr>
              <w:pStyle w:val="Compact"/>
              <w:jc w:val="left"/>
            </w:pPr>
            <w:r>
              <w:t xml:space="preserve">Investment Banking (UBS, Credit Suisse)</w:t>
            </w:r>
          </w:p>
        </w:tc>
        <w:tc>
          <w:tcPr/>
          <w:p>
            <w:pPr>
              <w:pStyle w:val="Compact"/>
              <w:jc w:val="left"/>
            </w:pPr>
            <w:r>
              <w:t xml:space="preserve">52%</w:t>
            </w:r>
          </w:p>
        </w:tc>
        <w:tc>
          <w:tcPr/>
          <w:p>
            <w:pPr>
              <w:pStyle w:val="Compact"/>
              <w:jc w:val="left"/>
            </w:pPr>
            <w:r>
              <w:t xml:space="preserve">47%</w:t>
            </w:r>
          </w:p>
        </w:tc>
        <w:tc>
          <w:tcPr/>
          <w:p>
            <w:pPr>
              <w:pStyle w:val="Compact"/>
            </w:pPr>
          </w:p>
        </w:tc>
      </w:tr>
      <w:tr>
        <w:tc>
          <w:tcPr/>
          <w:p>
            <w:pPr>
              <w:pStyle w:val="Compact"/>
              <w:jc w:val="left"/>
            </w:pPr>
            <w:r>
              <w:t xml:space="preserve">Fintech Startups (Zurich FinTech Hub)</w:t>
            </w:r>
          </w:p>
        </w:tc>
        <w:tc>
          <w:tcPr/>
          <w:p>
            <w:pPr>
              <w:pStyle w:val="Compact"/>
              <w:jc w:val="left"/>
            </w:pPr>
            <w:r>
              <w:t xml:space="preserve">28%</w:t>
            </w:r>
          </w:p>
        </w:tc>
        <w:tc>
          <w:tcPr>
            <w:gridSpan w:val="2"/>
          </w:tcPr>
          <w:p>
            <w:pPr>
              <w:pStyle w:val="Compact"/>
              <w:jc w:val="left"/>
            </w:pPr>
            <w:r>
              <w:t xml:space="preserve">+19% YoY</w:t>
            </w:r>
          </w:p>
        </w:tc>
      </w:tr>
      <w:tr>
        <w:tc>
          <w:tcPr/>
          <w:p>
            <w:pPr>
              <w:pStyle w:val="Compact"/>
              <w:jc w:val="left"/>
            </w:pPr>
            <w:r>
              <w:t xml:space="preserve">Average Deal Size (CHF)</w:t>
            </w:r>
          </w:p>
        </w:tc>
        <w:tc>
          <w:tcPr/>
          <w:p>
            <w:pPr>
              <w:pStyle w:val="Compact"/>
            </w:pPr>
          </w:p>
        </w:tc>
        <w:tc>
          <w:tcPr/>
          <w:p>
            <w:pPr>
              <w:pStyle w:val="Compact"/>
            </w:pPr>
          </w:p>
        </w:tc>
        <w:tc>
          <w:tcPr/>
          <w:p>
            <w:pPr>
              <w:pStyle w:val="Compact"/>
            </w:pPr>
          </w:p>
        </w:tc>
      </w:tr>
      <w:tr>
        <w:tc>
          <w:tcPr/>
          <w:p>
            <w:pPr>
              <w:pStyle w:val="Compact"/>
              <w:jc w:val="left"/>
            </w:pPr>
            <w:r>
              <w:t xml:space="preserve">Enterprise Tier</w:t>
            </w:r>
          </w:p>
        </w:tc>
        <w:tc>
          <w:tcPr/>
          <w:p>
            <w:pPr>
              <w:pStyle w:val="Compact"/>
              <w:jc w:val="left"/>
            </w:pPr>
            <w:r>
              <w:t xml:space="preserve">375,000</w:t>
            </w:r>
          </w:p>
        </w:tc>
        <w:tc>
          <w:tcPr/>
          <w:p>
            <w:pPr>
              <w:pStyle w:val="Compact"/>
              <w:jc w:val="left"/>
            </w:pPr>
            <w:r>
              <w:t xml:space="preserve">328,000</w:t>
            </w:r>
          </w:p>
        </w:tc>
        <w:tc>
          <w:tcPr/>
          <w:p>
            <w:pPr>
              <w:pStyle w:val="Compact"/>
              <w:jc w:val="left"/>
            </w:pPr>
            <w:r>
              <w:t xml:space="preserve">+14.3%</w:t>
            </w:r>
          </w:p>
        </w:tc>
      </w:tr>
    </w:tbl>
    <w:p>
      <w:pPr>
        <w:pStyle w:val="BodyText"/>
      </w:pPr>
      <w:r>
        <w:t xml:space="preserve">The 23 new enterprise contracts in Q3 include landmark agreements with Zurich-based entities: the Zürich Cantonal Bank (adopting Mathematician for derivative pricing), the ETH Zurich Quantitative Finance Lab (for academic research), and five fintech unicorns from the "Zurich Innovation District." Notably, all deals exceeded $300K, reflecting increased enterprise commitment to mathematical infrastructure.</w:t>
      </w:r>
    </w:p>
    <w:bookmarkEnd w:id="22"/>
    <w:bookmarkStart w:id="23" w:name="X545ba6fd28ce2fa31ab9c143d44010fa6e84e5d"/>
    <w:p>
      <w:pPr>
        <w:pStyle w:val="Heading2"/>
      </w:pPr>
      <w:r>
        <w:t xml:space="preserve">Strategic Advantages in Switzerland Zurich</w:t>
      </w:r>
    </w:p>
    <w:p>
      <w:pPr>
        <w:pStyle w:val="FirstParagraph"/>
      </w:pPr>
      <w:r>
        <w:t xml:space="preserve">Our success stems from three pillars uniquely aligned with Zurich's market demands:</w:t>
      </w:r>
    </w:p>
    <w:p>
      <w:pPr>
        <w:numPr>
          <w:ilvl w:val="0"/>
          <w:numId w:val="1001"/>
        </w:numPr>
        <w:pStyle w:val="Compact"/>
      </w:pPr>
      <w:r>
        <w:rPr>
          <w:bCs/>
          <w:b/>
        </w:rPr>
        <w:t xml:space="preserve">Swiss Regulatory Precision:</w:t>
      </w:r>
      <w:r>
        <w:t xml:space="preserve"> </w:t>
      </w:r>
      <w:r>
        <w:t xml:space="preserve">Mathematician’s compliance engine automatically adjusts models to Swiss financial regulations (e.g., FINMA Article 10) during real-time trading—eliminating costly manual recalibrations required by competitors.</w:t>
      </w:r>
    </w:p>
    <w:p>
      <w:pPr>
        <w:numPr>
          <w:ilvl w:val="0"/>
          <w:numId w:val="1001"/>
        </w:numPr>
        <w:pStyle w:val="Compact"/>
      </w:pPr>
      <w:r>
        <w:rPr>
          <w:bCs/>
          <w:b/>
        </w:rPr>
        <w:t xml:space="preserve">Zurich Talent Synergy:</w:t>
      </w:r>
      <w:r>
        <w:t xml:space="preserve"> </w:t>
      </w:r>
      <w:r>
        <w:t xml:space="preserve">We've embedded our local sales team with former ETH Zurich mathematics professors who provide technical consultancy, creating trust through academic credibility. This "Mathematician Ambassador" program increased client retention by 32%.</w:t>
      </w:r>
    </w:p>
    <w:p>
      <w:pPr>
        <w:numPr>
          <w:ilvl w:val="0"/>
          <w:numId w:val="1001"/>
        </w:numPr>
        <w:pStyle w:val="Compact"/>
      </w:pPr>
      <w:r>
        <w:rPr>
          <w:bCs/>
          <w:b/>
        </w:rPr>
        <w:t xml:space="preserve">Local Data Ecosystem Integration:</w:t>
      </w:r>
      <w:r>
        <w:t xml:space="preserve"> </w:t>
      </w:r>
      <w:r>
        <w:t xml:space="preserve">Seamless connectivity with Zurich's central market data providers (like SIX Financial Information) allows Mathematician to ingest Swiss-specific market feeds without latency—critical for high-frequency trading firms operating from Zurich.</w:t>
      </w:r>
    </w:p>
    <w:bookmarkEnd w:id="23"/>
    <w:bookmarkStart w:id="24" w:name="challenges-and-competitive-landscape"/>
    <w:p>
      <w:pPr>
        <w:pStyle w:val="Heading2"/>
      </w:pPr>
      <w:r>
        <w:t xml:space="preserve">Challenges and Competitive Landscape</w:t>
      </w:r>
    </w:p>
    <w:p>
      <w:pPr>
        <w:pStyle w:val="FirstParagraph"/>
      </w:pPr>
      <w:r>
        <w:t xml:space="preserve">While performance was exceptional, we identified key challenges requiring strategic adjustment:</w:t>
      </w:r>
    </w:p>
    <w:p>
      <w:pPr>
        <w:numPr>
          <w:ilvl w:val="0"/>
          <w:numId w:val="1002"/>
        </w:numPr>
        <w:pStyle w:val="Compact"/>
      </w:pPr>
      <w:r>
        <w:rPr>
          <w:iCs/>
          <w:i/>
        </w:rPr>
        <w:t xml:space="preserve">Competition Pressure:</w:t>
      </w:r>
      <w:r>
        <w:t xml:space="preserve"> </w:t>
      </w:r>
      <w:r>
        <w:t xml:space="preserve">European analytics vendors (notably Paris-based QuantPro) aggressively undercut pricing but fail to deliver Zurich-specific regulatory integration. Our focus on localized compliance remains our strongest defense.</w:t>
      </w:r>
    </w:p>
    <w:p>
      <w:pPr>
        <w:numPr>
          <w:ilvl w:val="0"/>
          <w:numId w:val="1002"/>
        </w:numPr>
        <w:pStyle w:val="Compact"/>
      </w:pPr>
      <w:r>
        <w:rPr>
          <w:iCs/>
          <w:i/>
        </w:rPr>
        <w:t xml:space="preserve">Language Barrier Concerns:</w:t>
      </w:r>
      <w:r>
        <w:t xml:space="preserve"> </w:t>
      </w:r>
      <w:r>
        <w:t xml:space="preserve">Initial French-speaking client outreach lagged, but implementing Swiss German localization (including Zurich dialect terms for financial concepts) in Q3 improved conversion rates by 27% among SME clients.</w:t>
      </w:r>
    </w:p>
    <w:p>
      <w:pPr>
        <w:numPr>
          <w:ilvl w:val="0"/>
          <w:numId w:val="1002"/>
        </w:numPr>
        <w:pStyle w:val="Compact"/>
      </w:pPr>
      <w:r>
        <w:rPr>
          <w:iCs/>
          <w:i/>
        </w:rPr>
        <w:t xml:space="preserve">Economic Sensitivity:</w:t>
      </w:r>
      <w:r>
        <w:t xml:space="preserve"> </w:t>
      </w:r>
      <w:r>
        <w:t xml:space="preserve">Swiss banking sector cost-cutting in Q2 delayed some deals; however, we mitigated this through flexible payment plans aligned with Zurich's annual budget cycles.</w:t>
      </w:r>
    </w:p>
    <w:bookmarkEnd w:id="24"/>
    <w:bookmarkStart w:id="25" w:name="opportunities-for-expansion"/>
    <w:p>
      <w:pPr>
        <w:pStyle w:val="Heading2"/>
      </w:pPr>
      <w:r>
        <w:t xml:space="preserve">Opportunities for Expansion</w:t>
      </w:r>
    </w:p>
    <w:p>
      <w:pPr>
        <w:pStyle w:val="FirstParagraph"/>
      </w:pPr>
      <w:r>
        <w:t xml:space="preserve">Zurich presents three high-potential growth vectors:</w:t>
      </w:r>
    </w:p>
    <w:p>
      <w:pPr>
        <w:numPr>
          <w:ilvl w:val="0"/>
          <w:numId w:val="1003"/>
        </w:numPr>
        <w:pStyle w:val="Compact"/>
      </w:pPr>
      <w:r>
        <w:rPr>
          <w:bCs/>
          <w:b/>
        </w:rPr>
        <w:t xml:space="preserve">Academic Partnerships:</w:t>
      </w:r>
      <w:r>
        <w:t xml:space="preserve"> </w:t>
      </w:r>
      <w:r>
        <w:t xml:space="preserve">ETH Zurich’s new "Center for Mathematical Finance" will deploy Mathematician across 12 research groups by Q1 2024, representing a CHF 1.8M pipeline.</w:t>
      </w:r>
    </w:p>
    <w:p>
      <w:pPr>
        <w:numPr>
          <w:ilvl w:val="0"/>
          <w:numId w:val="1003"/>
        </w:numPr>
        <w:pStyle w:val="Compact"/>
      </w:pPr>
      <w:r>
        <w:rPr>
          <w:bCs/>
          <w:b/>
        </w:rPr>
        <w:t xml:space="preserve">Regulatory Technology (RegTech):</w:t>
      </w:r>
      <w:r>
        <w:t xml:space="preserve"> </w:t>
      </w:r>
      <w:r>
        <w:t xml:space="preserve">FINMA’s new AI compliance framework (effective Jan 2024) requires mathematical validation tools—positioning Mathematician as the de facto standard for Swiss-regulated entities.</w:t>
      </w:r>
    </w:p>
    <w:p>
      <w:pPr>
        <w:numPr>
          <w:ilvl w:val="0"/>
          <w:numId w:val="1003"/>
        </w:numPr>
        <w:pStyle w:val="Compact"/>
      </w:pPr>
      <w:r>
        <w:rPr>
          <w:bCs/>
          <w:b/>
        </w:rPr>
        <w:t xml:space="preserve">Zurich Fintech Ecosystem:</w:t>
      </w:r>
      <w:r>
        <w:t xml:space="preserve"> </w:t>
      </w:r>
      <w:r>
        <w:t xml:space="preserve">The city's 37 fintech startups in Q3 generated $48M in funding, creating demand for scalable mathematical infrastructure. We’ve launched a startup accelerator program offering Mathematician at 50% discount.</w:t>
      </w:r>
    </w:p>
    <w:bookmarkEnd w:id="25"/>
    <w:bookmarkStart w:id="26" w:name="conclusion-and-strategic-recommendations"/>
    <w:p>
      <w:pPr>
        <w:pStyle w:val="Heading2"/>
      </w:pPr>
      <w:r>
        <w:t xml:space="preserve">Conclusion and Strategic Recommendations</w:t>
      </w:r>
    </w:p>
    <w:p>
      <w:pPr>
        <w:pStyle w:val="FirstParagraph"/>
      </w:pPr>
      <w:r>
        <w:t xml:space="preserve">The Sales Report unequivocally demonstrates that Mathematician has established itself as the market leader in Switzerland Zurich, driven by hyper-localized value rather than generic analytics. Our Q3 performance exceeds all regional benchmarks and validates our investment in Zurich-specific R&amp;D. To sustain momentum, we recommend:</w:t>
      </w:r>
    </w:p>
    <w:p>
      <w:pPr>
        <w:numPr>
          <w:ilvl w:val="0"/>
          <w:numId w:val="1004"/>
        </w:numPr>
        <w:pStyle w:val="Compact"/>
      </w:pPr>
      <w:r>
        <w:t xml:space="preserve">Allocating 25% of Q4 R&amp;D budget to Swiss regulatory module updates (specifically for FINMA’s 2024 AI rules)</w:t>
      </w:r>
    </w:p>
    <w:p>
      <w:pPr>
        <w:numPr>
          <w:ilvl w:val="0"/>
          <w:numId w:val="1004"/>
        </w:numPr>
        <w:pStyle w:val="Compact"/>
      </w:pPr>
      <w:r>
        <w:t xml:space="preserve">Launching a "Zurich Mathematical Excellence" certification program in partnership with ETH Zurich, enhancing brand prestige</w:t>
      </w:r>
    </w:p>
    <w:p>
      <w:pPr>
        <w:numPr>
          <w:ilvl w:val="0"/>
          <w:numId w:val="1004"/>
        </w:numPr>
        <w:pStyle w:val="Compact"/>
      </w:pPr>
      <w:r>
        <w:t xml:space="preserve">Expanding the Zurich sales team by 3 specialists focused on fintech startups to capture emerging opportunities</w:t>
      </w:r>
    </w:p>
    <w:p>
      <w:pPr>
        <w:pStyle w:val="FirstParagraph"/>
      </w:pPr>
      <w:r>
        <w:t xml:space="preserve">In conclusion, Switzerland Zurich is not merely a high-value market for Mathematician—it is the proving ground that validates our platform’s global relevance. The region’s unparalleled demand for mathematical precision in finance has made Mathematician the preferred engine behind Zurich's financial innovation. As one UBS quant analyst recently noted, "Mathematician isn’t just software; it’s become Swiss financial infrastructure." This Sales Report confirms we’ve achieved critical mass in the heart of Europe’s mathematical finance capital, setting a benchmark for global expansion.</w:t>
      </w:r>
    </w:p>
    <w:p>
      <w:pPr>
        <w:pStyle w:val="BodyText"/>
      </w:pPr>
      <w:r>
        <w:rPr>
          <w:bCs/>
          <w:b/>
        </w:rPr>
        <w:t xml:space="preserve">Prepared By:</w:t>
      </w:r>
      <w:r>
        <w:t xml:space="preserve"> </w:t>
      </w:r>
      <w:r>
        <w:t xml:space="preserve">Zurich Market Intelligence Team</w:t>
      </w:r>
      <w:r>
        <w:br/>
      </w:r>
      <w:r>
        <w:rPr>
          <w:bCs/>
          <w:b/>
        </w:rPr>
        <w:t xml:space="preserve">Date:</w:t>
      </w:r>
      <w:r>
        <w:t xml:space="preserve"> </w:t>
      </w:r>
      <w:r>
        <w:t xml:space="preserve">October 26, 2023</w:t>
      </w:r>
      <w:r>
        <w:br/>
      </w:r>
      <w:r>
        <w:rPr>
          <w:bCs/>
          <w:b/>
        </w:rPr>
        <w:t xml:space="preserve">Confidentiality:</w:t>
      </w:r>
      <w:r>
        <w:t xml:space="preserve"> </w:t>
      </w:r>
      <w:r>
        <w:t xml:space="preserve">This Sales Report is proprietary to Mathematician Solutions Ltd. and intended solely for internal strategic use in Switzerland.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Switzerland Zurich Market Analysis</dc:title>
  <dc:creator/>
  <dc:language>en</dc:language>
  <cp:keywords/>
  <dcterms:created xsi:type="dcterms:W3CDTF">2026-07-24T07:09:25Z</dcterms:created>
  <dcterms:modified xsi:type="dcterms:W3CDTF">2026-07-24T07:09:25Z</dcterms:modified>
</cp:coreProperties>
</file>

<file path=docProps/custom.xml><?xml version="1.0" encoding="utf-8"?>
<Properties xmlns="http://schemas.openxmlformats.org/officeDocument/2006/custom-properties" xmlns:vt="http://schemas.openxmlformats.org/officeDocument/2006/docPropsVTypes"/>
</file>