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Educational</w:t>
      </w:r>
      <w:r>
        <w:t xml:space="preserve"> </w:t>
      </w:r>
      <w:r>
        <w:t xml:space="preserve">Platform</w:t>
      </w:r>
      <w:r>
        <w:t xml:space="preserve"> </w:t>
      </w:r>
      <w:r>
        <w:t xml:space="preserve">-</w:t>
      </w:r>
      <w:r>
        <w:t xml:space="preserve"> </w:t>
      </w:r>
      <w:r>
        <w:t xml:space="preserve">Ankara,</w:t>
      </w:r>
      <w:r>
        <w:t xml:space="preserve"> </w:t>
      </w:r>
      <w:r>
        <w:t xml:space="preserve">Turkey</w:t>
      </w:r>
      <w:r>
        <w:t xml:space="preserve"> </w:t>
      </w:r>
      <w:r>
        <w:t xml:space="preserve">Market</w:t>
      </w:r>
    </w:p>
    <w:bookmarkStart w:id="26" w:name="X201fe4d6e611b7fde7f9f9afa10269417c1ab13"/>
    <w:p>
      <w:pPr>
        <w:pStyle w:val="Heading1"/>
      </w:pPr>
      <w:r>
        <w:t xml:space="preserve">Comprehensive Sales Report: Mathematician Educational Platform in Ankara,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International Education Solutions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of our flagship educational technology platform "Mathematician" across the Ankara market in Turkey. The platform provides AI-driven personalized mathematics instruction for K-12 students and professional development for teachers. In this critical market, we've achieved remarkable success with a 35% year-over-year sales growth in Ankara, establishing strong partnerships with key educational institutions and exceeding our initial targets by 27%. This report outlines the strategic initiatives driving this performance while highlighting opportunities for sustained growth within Turkey's capital city ecosystem.</w:t>
      </w:r>
    </w:p>
    <w:bookmarkEnd w:id="20"/>
    <w:bookmarkStart w:id="21" w:name="X5e6cc4bf2792a30fbde24f6bb4ab09ba8740008"/>
    <w:p>
      <w:pPr>
        <w:pStyle w:val="Heading2"/>
      </w:pPr>
      <w:r>
        <w:t xml:space="preserve">II. Sales Performance Highlights: Ankara Market</w:t>
      </w:r>
    </w:p>
    <w:p>
      <w:pPr>
        <w:pStyle w:val="FirstParagraph"/>
      </w:pPr>
      <w:r>
        <w:t xml:space="preserve">The Ankara market has proven to be a pivotal growth engine for our "Mathematician" platform in Turkey. During the reporting period, we achieved:</w:t>
      </w:r>
    </w:p>
    <w:p>
      <w:pPr>
        <w:numPr>
          <w:ilvl w:val="0"/>
          <w:numId w:val="1001"/>
        </w:numPr>
        <w:pStyle w:val="Compact"/>
      </w:pPr>
      <w:r>
        <w:rPr>
          <w:bCs/>
          <w:b/>
        </w:rPr>
        <w:t xml:space="preserve">35% Growth</w:t>
      </w:r>
      <w:r>
        <w:t xml:space="preserve"> </w:t>
      </w:r>
      <w:r>
        <w:t xml:space="preserve">in subscription revenue compared to 2022 (vs. national average of 18%)</w:t>
      </w:r>
    </w:p>
    <w:p>
      <w:pPr>
        <w:numPr>
          <w:ilvl w:val="0"/>
          <w:numId w:val="1001"/>
        </w:numPr>
        <w:pStyle w:val="Compact"/>
      </w:pPr>
      <w:r>
        <w:rPr>
          <w:bCs/>
          <w:b/>
        </w:rPr>
        <w:t xml:space="preserve">42 Institutional Partnerships</w:t>
      </w:r>
      <w:r>
        <w:t xml:space="preserve"> </w:t>
      </w:r>
      <w:r>
        <w:t xml:space="preserve">secured with schools and universities across Ankara, including Hacettepe University's Mathematics Department and Middle East Technical University (METU)</w:t>
      </w:r>
    </w:p>
    <w:p>
      <w:pPr>
        <w:numPr>
          <w:ilvl w:val="0"/>
          <w:numId w:val="1001"/>
        </w:numPr>
        <w:pStyle w:val="Compact"/>
      </w:pPr>
      <w:r>
        <w:rPr>
          <w:bCs/>
          <w:b/>
        </w:rPr>
        <w:t xml:space="preserve">3,750 Active Users</w:t>
      </w:r>
      <w:r>
        <w:t xml:space="preserve"> </w:t>
      </w:r>
      <w:r>
        <w:t xml:space="preserve">in Ankara's educational institutions (a 65% increase from Q1 2023)</w:t>
      </w:r>
    </w:p>
    <w:p>
      <w:pPr>
        <w:numPr>
          <w:ilvl w:val="0"/>
          <w:numId w:val="1001"/>
        </w:numPr>
        <w:pStyle w:val="Compact"/>
      </w:pPr>
      <w:r>
        <w:rPr>
          <w:bCs/>
          <w:b/>
        </w:rPr>
        <w:t xml:space="preserve">89% Customer Retention Rate</w:t>
      </w:r>
      <w:r>
        <w:t xml:space="preserve"> </w:t>
      </w:r>
      <w:r>
        <w:t xml:space="preserve">among Ankara-based schools - significantly higher than industry benchmark of 74%</w:t>
      </w:r>
    </w:p>
    <w:p>
      <w:pPr>
        <w:pStyle w:val="FirstParagraph"/>
      </w:pPr>
      <w:r>
        <w:t xml:space="preserve">The success in Ankara reflects our strategic focus on understanding Turkey's specific educational needs. Unlike other regions, the Ankara market demonstrated exceptional receptiveness to AI-powered mathematics education due to its status as Turkey's educational capital and home to numerous government education initiatives.</w:t>
      </w:r>
    </w:p>
    <w:bookmarkEnd w:id="21"/>
    <w:bookmarkStart w:id="22" w:name="iii.-market-analysis-why-ankara"/>
    <w:p>
      <w:pPr>
        <w:pStyle w:val="Heading2"/>
      </w:pPr>
      <w:r>
        <w:t xml:space="preserve">III. Market Analysis: Why Ankara?</w:t>
      </w:r>
    </w:p>
    <w:p>
      <w:pPr>
        <w:pStyle w:val="FirstParagraph"/>
      </w:pPr>
      <w:r>
        <w:t xml:space="preserve">Ankara presents a unique opportunity for "Mathematician" sales success due to several market-specific factors:</w:t>
      </w:r>
    </w:p>
    <w:p>
      <w:pPr>
        <w:numPr>
          <w:ilvl w:val="0"/>
          <w:numId w:val="1002"/>
        </w:numPr>
        <w:pStyle w:val="Compact"/>
      </w:pPr>
      <w:r>
        <w:rPr>
          <w:bCs/>
          <w:b/>
        </w:rPr>
        <w:t xml:space="preserve">Educational Infrastructure:</w:t>
      </w:r>
      <w:r>
        <w:t xml:space="preserve"> </w:t>
      </w:r>
      <w:r>
        <w:t xml:space="preserve">As Turkey's capital, Ankara houses 38% of the country's higher education institutions and serves as the headquarters for the Turkish Ministry of National Education. This creates concentrated opportunities for institutional sales.</w:t>
      </w:r>
    </w:p>
    <w:p>
      <w:pPr>
        <w:numPr>
          <w:ilvl w:val="0"/>
          <w:numId w:val="1002"/>
        </w:numPr>
        <w:pStyle w:val="Compact"/>
      </w:pPr>
      <w:r>
        <w:rPr>
          <w:bCs/>
          <w:b/>
        </w:rPr>
        <w:t xml:space="preserve">National Curriculum Alignment:</w:t>
      </w:r>
      <w:r>
        <w:t xml:space="preserve"> </w:t>
      </w:r>
      <w:r>
        <w:t xml:space="preserve">Our "Mathematician" platform was specifically adapted to align with Turkey's updated mathematics curriculum (2019), making it particularly appealing to Ankara-based educators who prioritize national standards compliance.</w:t>
      </w:r>
    </w:p>
    <w:p>
      <w:pPr>
        <w:numPr>
          <w:ilvl w:val="0"/>
          <w:numId w:val="1002"/>
        </w:numPr>
        <w:pStyle w:val="Compact"/>
      </w:pPr>
      <w:r>
        <w:rPr>
          <w:bCs/>
          <w:b/>
        </w:rPr>
        <w:t xml:space="preserve">Government Education Initiatives:</w:t>
      </w:r>
      <w:r>
        <w:t xml:space="preserve"> </w:t>
      </w:r>
      <w:r>
        <w:t xml:space="preserve">Ankara serves as the testing ground for many national educational technology pilots, including the government's "Digital Schools" program. This created a receptive environment for our platform's implementation.</w:t>
      </w:r>
    </w:p>
    <w:p>
      <w:pPr>
        <w:numPr>
          <w:ilvl w:val="0"/>
          <w:numId w:val="1002"/>
        </w:numPr>
        <w:pStyle w:val="Compact"/>
      </w:pPr>
      <w:r>
        <w:rPr>
          <w:bCs/>
          <w:b/>
        </w:rPr>
        <w:t xml:space="preserve">Demographic Advantage:</w:t>
      </w:r>
      <w:r>
        <w:t xml:space="preserve"> </w:t>
      </w:r>
      <w:r>
        <w:t xml:space="preserve">With over 5.5 million residents and growing urban population, Ankara represents Turkey's largest market opportunity outside Istanbul with high demand for quality educational solutions.</w:t>
      </w:r>
    </w:p>
    <w:p>
      <w:pPr>
        <w:pStyle w:val="FirstParagraph"/>
      </w:pPr>
      <w:r>
        <w:t xml:space="preserve">The Turkish education sector has shown increased investment in digital tools since the pandemic, with Ankara leading adoption rates. Our local sales team, based in Çankaya district (Ankara's business and government center), was instrumental in building these relationships through culturally informed engagement strategies.</w:t>
      </w:r>
    </w:p>
    <w:bookmarkEnd w:id="22"/>
    <w:bookmarkStart w:id="23" w:name="Xc3cb491fcb44dd84e863f2188f8d45e55775de3"/>
    <w:p>
      <w:pPr>
        <w:pStyle w:val="Heading2"/>
      </w:pPr>
      <w:r>
        <w:t xml:space="preserve">IV. Strategic Initiatives Driving Sales Success</w:t>
      </w:r>
    </w:p>
    <w:p>
      <w:pPr>
        <w:pStyle w:val="FirstParagraph"/>
      </w:pPr>
      <w:r>
        <w:t xml:space="preserve">Our sales strategy for the Ankara market incorporated three key elements that differentiated our approach:</w:t>
      </w:r>
    </w:p>
    <w:p>
      <w:pPr>
        <w:numPr>
          <w:ilvl w:val="0"/>
          <w:numId w:val="1003"/>
        </w:numPr>
        <w:pStyle w:val="Compact"/>
      </w:pPr>
      <w:r>
        <w:rPr>
          <w:bCs/>
          <w:b/>
        </w:rPr>
        <w:t xml:space="preserve">Cultural Integration:</w:t>
      </w:r>
      <w:r>
        <w:t xml:space="preserve"> </w:t>
      </w:r>
      <w:r>
        <w:t xml:space="preserve">We localized our marketing materials with Turkish language support and adapted content to reflect cultural context. For example, we developed problem scenarios using local geography (Ankara's historical sites) and daily life situations familiar to Turkish students.</w:t>
      </w:r>
    </w:p>
    <w:p>
      <w:pPr>
        <w:numPr>
          <w:ilvl w:val="0"/>
          <w:numId w:val="1003"/>
        </w:numPr>
        <w:pStyle w:val="Compact"/>
      </w:pPr>
      <w:r>
        <w:rPr>
          <w:bCs/>
          <w:b/>
        </w:rPr>
        <w:t xml:space="preserve">Government Partnership Development:</w:t>
      </w:r>
      <w:r>
        <w:t xml:space="preserve"> </w:t>
      </w:r>
      <w:r>
        <w:t xml:space="preserve">Working through the Ankara Education Directorate, we positioned "Mathematician" as a solution supporting Turkey's national education digitization goals. This strategic alignment facilitated procurement processes.</w:t>
      </w:r>
    </w:p>
    <w:p>
      <w:pPr>
        <w:numPr>
          <w:ilvl w:val="0"/>
          <w:numId w:val="1003"/>
        </w:numPr>
        <w:pStyle w:val="Compact"/>
      </w:pPr>
      <w:r>
        <w:rPr>
          <w:bCs/>
          <w:b/>
        </w:rPr>
        <w:t xml:space="preserve">Teacher-Centric Onboarding:</w:t>
      </w:r>
      <w:r>
        <w:t xml:space="preserve"> </w:t>
      </w:r>
      <w:r>
        <w:t xml:space="preserve">Recognizing that teachers drive adoption in Turkish schools, we implemented comprehensive training workshops in Ankara that were certified by the Ministry of Education. This approach resulted in higher teacher satisfaction and platform utilization rates.</w:t>
      </w:r>
    </w:p>
    <w:p>
      <w:pPr>
        <w:pStyle w:val="FirstParagraph"/>
      </w:pPr>
      <w:r>
        <w:t xml:space="preserve">A particularly successful initiative was our "Mathematician Ambassador Program" launched in Ankara, which trained 240 teachers as platform champions across 65 schools. These ambassadors significantly accelerated adoption within their school communities.</w:t>
      </w:r>
    </w:p>
    <w:bookmarkEnd w:id="23"/>
    <w:bookmarkStart w:id="24" w:name="Xfa471ca9ad4184ab8cb83dcfb1e4adfa8a19b88"/>
    <w:p>
      <w:pPr>
        <w:pStyle w:val="Heading2"/>
      </w:pPr>
      <w:r>
        <w:t xml:space="preserve">V. Challenges and Strategic Recommendations</w:t>
      </w:r>
    </w:p>
    <w:p>
      <w:pPr>
        <w:pStyle w:val="FirstParagraph"/>
      </w:pPr>
      <w:r>
        <w:t xml:space="preserve">While performance has been strong, we identified two key challenges requiring attention:</w:t>
      </w:r>
    </w:p>
    <w:p>
      <w:pPr>
        <w:numPr>
          <w:ilvl w:val="0"/>
          <w:numId w:val="1004"/>
        </w:numPr>
        <w:pStyle w:val="Compact"/>
      </w:pPr>
      <w:r>
        <w:rPr>
          <w:bCs/>
          <w:b/>
        </w:rPr>
        <w:t xml:space="preserve">Payment Infrastructure:</w:t>
      </w:r>
      <w:r>
        <w:t xml:space="preserve"> </w:t>
      </w:r>
      <w:r>
        <w:t xml:space="preserve">Some Ankara-based schools still rely on traditional payment methods that don't align with our digital subscription model. We recommend implementing localized payment solutions including bank transfer options common in Turkish education procurement.</w:t>
      </w:r>
    </w:p>
    <w:p>
      <w:pPr>
        <w:numPr>
          <w:ilvl w:val="0"/>
          <w:numId w:val="1004"/>
        </w:numPr>
        <w:pStyle w:val="Compact"/>
      </w:pPr>
      <w:r>
        <w:rPr>
          <w:bCs/>
          <w:b/>
        </w:rPr>
        <w:t xml:space="preserve">Cultural Perception of AI:</w:t>
      </w:r>
      <w:r>
        <w:t xml:space="preserve"> </w:t>
      </w:r>
      <w:r>
        <w:t xml:space="preserve">A small segment of educators expressed concerns about AI replacing teachers. We recommend developing targeted communications highlighting "Mathematician" as a teacher augmentation tool, not replacement.</w:t>
      </w:r>
    </w:p>
    <w:p>
      <w:pPr>
        <w:pStyle w:val="FirstParagraph"/>
      </w:pPr>
      <w:r>
        <w:t xml:space="preserve">Based on our Ankara market success, we recommend expanding the platform's Turkish language capabilities to include regional dialects used in Anatolian schools. Additionally, we propose launching a specialized version of "Mathematician" for Turkey's technical and vocational education system (TVET), which represents a significant untapped opportunity.</w:t>
      </w:r>
    </w:p>
    <w:bookmarkEnd w:id="24"/>
    <w:bookmarkStart w:id="25" w:name="X11b98c8068540794086da6668297436bce50353"/>
    <w:p>
      <w:pPr>
        <w:pStyle w:val="Heading2"/>
      </w:pPr>
      <w:r>
        <w:t xml:space="preserve">VI. Conclusion: The Path Forward in Ankara</w:t>
      </w:r>
    </w:p>
    <w:p>
      <w:pPr>
        <w:pStyle w:val="FirstParagraph"/>
      </w:pPr>
      <w:r>
        <w:t xml:space="preserve">The success of our "Mathematician" platform in Ankara demonstrates the power of market-specific adaptation within Turkey's educational technology landscape. As the capital city and education hub, Ankara has provided a crucial proving ground for our product that aligns perfectly with national educational priorities. The 35% growth rate in this key market validates our strategy and positions us for accelerated expansion throughout Turkey.</w:t>
      </w:r>
    </w:p>
    <w:p>
      <w:pPr>
        <w:pStyle w:val="BodyText"/>
      </w:pPr>
      <w:r>
        <w:t xml:space="preserve">Our next strategic priority is to leverage the Ankara success story as a model for other Turkish cities while maintaining the localized approach that made us successful in the capital. By focusing on building strong relationships with Ankara's educational institutions, we've not only achieved excellent sales results but have also contributed meaningfully to enhancing mathematics education throughout Turkey.</w:t>
      </w:r>
    </w:p>
    <w:p>
      <w:pPr>
        <w:pStyle w:val="BodyText"/>
      </w:pPr>
      <w:r>
        <w:t xml:space="preserve">The "Mathematician" platform's performance in Ankara proves that when sales strategies incorporate deep understanding of local educational contexts while delivering on global quality standards, remarkable business outcomes follow. This Sales Report underscores why Ankara remains our top priority market within Turkey - a city where mathematics education meets technological innovation with exceptional results.</w:t>
      </w:r>
    </w:p>
    <w:p>
      <w:pPr>
        <w:pStyle w:val="BodyText"/>
      </w:pPr>
      <w:r>
        <w:rPr>
          <w:bCs/>
          <w:b/>
        </w:rPr>
        <w:t xml:space="preserve">Prepared by:</w:t>
      </w:r>
      <w:r>
        <w:t xml:space="preserve"> </w:t>
      </w:r>
      <w:r>
        <w:t xml:space="preserve">International Sales Strategy Division</w:t>
      </w:r>
      <w:r>
        <w:br/>
      </w:r>
      <w:r>
        <w:rPr>
          <w:bCs/>
          <w:b/>
        </w:rPr>
        <w:t xml:space="preserve">For distribution to:</w:t>
      </w:r>
      <w:r>
        <w:t xml:space="preserve"> </w:t>
      </w:r>
      <w:r>
        <w:t xml:space="preserve">Chief Executive Officer, Chief Revenue Officer, and Market Expansion Committee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Educational Platform - Ankara, Turkey Market</dc:title>
  <dc:creator/>
  <dc:language>en</dc:language>
  <cp:keywords/>
  <dcterms:created xsi:type="dcterms:W3CDTF">2026-07-19T16:06:08Z</dcterms:created>
  <dcterms:modified xsi:type="dcterms:W3CDTF">2026-07-19T16:06:08Z</dcterms:modified>
</cp:coreProperties>
</file>

<file path=docProps/custom.xml><?xml version="1.0" encoding="utf-8"?>
<Properties xmlns="http://schemas.openxmlformats.org/officeDocument/2006/custom-properties" xmlns:vt="http://schemas.openxmlformats.org/officeDocument/2006/docPropsVTypes"/>
</file>