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8" w:name="X6858502749e5fe7fadd00e448a6668e97c6f834"/>
    <w:p>
      <w:pPr>
        <w:pStyle w:val="Heading1"/>
      </w:pPr>
      <w:r>
        <w:t xml:space="preserve">Comprehensive Sales Report: Advanced Mathematical Software Solutions for Istanbul's Academic and Professional Mathematicians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Strategy Committee</w:t>
      </w:r>
      <w:r>
        <w:br/>
      </w:r>
      <w:r>
        <w:rPr>
          <w:bCs/>
          <w:b/>
        </w:rPr>
        <w:t xml:space="preserve">Report Period:</w:t>
      </w:r>
      <w:r>
        <w:t xml:space="preserve"> </w:t>
      </w:r>
      <w:r>
        <w:t xml:space="preserve">Q3 2023 (July 1 - September 30)</w:t>
      </w:r>
      <w:r>
        <w:br/>
      </w:r>
      <w:r>
        <w:rPr>
          <w:bCs/>
          <w:b/>
        </w:rPr>
        <w:t xml:space="preserve">Sales Region:</w:t>
      </w:r>
      <w:r>
        <w:t xml:space="preserve"> </w:t>
      </w:r>
      <w:r>
        <w:t xml:space="preserve">Turkey Istanbul Metropolitan Area</w:t>
      </w:r>
    </w:p>
    <w:bookmarkStart w:id="20" w:name="i.-executive-summary"/>
    <w:p>
      <w:pPr>
        <w:pStyle w:val="Heading2"/>
      </w:pPr>
      <w:r>
        <w:t xml:space="preserve">I. Executive Summary</w:t>
      </w:r>
    </w:p>
    <w:p>
      <w:pPr>
        <w:pStyle w:val="FirstParagraph"/>
      </w:pPr>
      <w:r>
        <w:t xml:space="preserve">This Sales Report details the exceptional performance of our advanced mathematical software suite within Istanbul's academic and corporate ecosystem. The demand for specialized tools serving the Turkish mathematician community has surged by 37% quarter-over-quarter, establishing Istanbul as a pivotal growth market for our global business strategy. This report confirms that targeted solutions addressing the unique needs of mathematicians in Turkey Istanbul have yielded significant revenue growth, with a 42% increase in enterprise licenses sold to research institutions and tech firms across Anatolia's commercial hub.</w:t>
      </w:r>
    </w:p>
    <w:bookmarkEnd w:id="20"/>
    <w:bookmarkStart w:id="22" w:name="X881b2406343c871385d6dc2d4a4e8003cee023c"/>
    <w:p>
      <w:pPr>
        <w:pStyle w:val="Heading2"/>
      </w:pPr>
      <w:r>
        <w:t xml:space="preserve">II. Market Context: Istanbul as Turkey's Mathematical Innovation Epicenter</w:t>
      </w:r>
    </w:p>
    <w:p>
      <w:pPr>
        <w:pStyle w:val="FirstParagraph"/>
      </w:pPr>
      <w:r>
        <w:t xml:space="preserve">Istanbul has emerged as the undisputed focal point for mathematical research and application within Turkey. Home to 43% of the country's STEM universities including Istanbul Technical University, Bogazici University, and Koc University, this city attracts over 15,000 graduate mathematicians annually. Our market analysis reveals that Istanbul-based mathematicians represent 68% of all high-value software purchases in Turkey for computational mathematics tools. The city's strategic position bridging Europe and Asia has accelerated demand for advanced mathematical modeling solutions in financial analytics (Istanbul Stock Exchange), engineering (TÜBİTAK projects), and AI development hubs.</w:t>
      </w:r>
    </w:p>
    <w:bookmarkStart w:id="21" w:name="key-demand-drivers"/>
    <w:p>
      <w:pPr>
        <w:pStyle w:val="Heading3"/>
      </w:pPr>
      <w:r>
        <w:t xml:space="preserve">Key Demand Drivers:</w:t>
      </w:r>
    </w:p>
    <w:p>
      <w:pPr>
        <w:numPr>
          <w:ilvl w:val="0"/>
          <w:numId w:val="1001"/>
        </w:numPr>
        <w:pStyle w:val="Compact"/>
      </w:pPr>
      <w:r>
        <w:t xml:space="preserve">Government initiatives like "Mathematics Excellence Centers" across Istanbul universities</w:t>
      </w:r>
    </w:p>
    <w:p>
      <w:pPr>
        <w:numPr>
          <w:ilvl w:val="0"/>
          <w:numId w:val="1001"/>
        </w:numPr>
        <w:pStyle w:val="Compact"/>
      </w:pPr>
      <w:r>
        <w:t xml:space="preserve">Rising fintech investments requiring sophisticated stochastic calculus tools</w:t>
      </w:r>
    </w:p>
    <w:p>
      <w:pPr>
        <w:numPr>
          <w:ilvl w:val="0"/>
          <w:numId w:val="1001"/>
        </w:numPr>
        <w:pStyle w:val="Compact"/>
      </w:pPr>
      <w:r>
        <w:t xml:space="preserve">Increase in multinational tech firms establishing AI R&amp;D centers in Istanbul (notably Google DeepMind's recent expansion)</w:t>
      </w:r>
    </w:p>
    <w:bookmarkEnd w:id="21"/>
    <w:bookmarkEnd w:id="22"/>
    <w:bookmarkStart w:id="23" w:name="X390b3785b68992ca0de671b9ddcae93c1157f7e"/>
    <w:p>
      <w:pPr>
        <w:pStyle w:val="Heading2"/>
      </w:pPr>
      <w:r>
        <w:t xml:space="preserve">III. Sales Performance: Mathematician-Centric Product Adoption</w:t>
      </w:r>
    </w:p>
    <w:p>
      <w:pPr>
        <w:pStyle w:val="FirstParagraph"/>
      </w:pPr>
      <w:r>
        <w:t xml:space="preserve">Our flagship product, "MathPro Suite," has achieved remarkable penetration among Istanbul's mathematician community through targeted engagement strategies. The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Q2 2023 Sales (€)</w:t>
            </w:r>
          </w:p>
        </w:tc>
        <w:tc>
          <w:tcPr/>
          <w:p>
            <w:pPr>
              <w:pStyle w:val="Compact"/>
              <w:jc w:val="left"/>
            </w:pPr>
            <w:r>
              <w:t xml:space="preserve">Q3 2023 Sales (€)</w:t>
            </w:r>
          </w:p>
        </w:tc>
        <w:tc>
          <w:tcPr/>
          <w:p>
            <w:pPr>
              <w:pStyle w:val="Compact"/>
              <w:jc w:val="left"/>
            </w:pPr>
            <w:r>
              <w:t xml:space="preserve">YoY Growth</w:t>
            </w:r>
          </w:p>
        </w:tc>
      </w:tr>
      <w:tr>
        <w:tc>
          <w:tcPr/>
          <w:p>
            <w:pPr>
              <w:pStyle w:val="Compact"/>
              <w:jc w:val="left"/>
            </w:pPr>
            <w:r>
              <w:t xml:space="preserve">University Licenses</w:t>
            </w:r>
          </w:p>
        </w:tc>
        <w:tc>
          <w:tcPr/>
          <w:p>
            <w:pPr>
              <w:pStyle w:val="Compact"/>
              <w:jc w:val="left"/>
            </w:pPr>
            <w:r>
              <w:t xml:space="preserve">148,500</w:t>
            </w:r>
          </w:p>
        </w:tc>
        <w:tc>
          <w:tcPr/>
          <w:p>
            <w:pPr>
              <w:pStyle w:val="Compact"/>
              <w:jc w:val="left"/>
            </w:pPr>
            <w:r>
              <w:t xml:space="preserve">216,750</w:t>
            </w:r>
          </w:p>
        </w:tc>
        <w:tc>
          <w:tcPr/>
          <w:p>
            <w:pPr>
              <w:pStyle w:val="Compact"/>
              <w:jc w:val="left"/>
            </w:pPr>
            <w:r>
              <w:t xml:space="preserve">+68.9%</w:t>
            </w:r>
          </w:p>
        </w:tc>
      </w:tr>
      <w:tr>
        <w:tc>
          <w:tcPr/>
          <w:p>
            <w:pPr>
              <w:pStyle w:val="Compact"/>
              <w:jc w:val="left"/>
            </w:pPr>
            <w:r>
              <w:t xml:space="preserve">Corporate Research Packages</w:t>
            </w:r>
          </w:p>
        </w:tc>
        <w:tc>
          <w:tcPr/>
          <w:p>
            <w:pPr>
              <w:pStyle w:val="Compact"/>
              <w:jc w:val="left"/>
            </w:pPr>
            <w:r>
              <w:t xml:space="preserve">Istanbul Financial District Focus (37% of total)</w:t>
            </w:r>
          </w:p>
        </w:tc>
        <w:tc>
          <w:tcPr/>
          <w:p>
            <w:pPr>
              <w:pStyle w:val="Compact"/>
            </w:pPr>
          </w:p>
        </w:tc>
        <w:tc>
          <w:tcPr/>
          <w:p>
            <w:pPr>
              <w:pStyle w:val="Compact"/>
            </w:pPr>
          </w:p>
        </w:tc>
      </w:tr>
      <w:tr>
        <w:tc>
          <w:tcPr/>
          <w:p>
            <w:pPr>
              <w:pStyle w:val="Compact"/>
              <w:jc w:val="left"/>
            </w:pPr>
            <w:r>
              <w:t xml:space="preserve">  Quantitative Finance Firms</w:t>
            </w:r>
          </w:p>
        </w:tc>
        <w:tc>
          <w:tcPr/>
          <w:p>
            <w:pPr>
              <w:pStyle w:val="Compact"/>
              <w:jc w:val="left"/>
            </w:pPr>
            <w:r>
              <w:t xml:space="preserve">89,200</w:t>
            </w:r>
          </w:p>
        </w:tc>
        <w:tc>
          <w:tcPr/>
          <w:p>
            <w:pPr>
              <w:pStyle w:val="Compact"/>
              <w:jc w:val="left"/>
            </w:pPr>
            <w:r>
              <w:t xml:space="preserve">142,500</w:t>
            </w:r>
          </w:p>
        </w:tc>
        <w:tc>
          <w:tcPr/>
          <w:p>
            <w:pPr>
              <w:pStyle w:val="Compact"/>
              <w:jc w:val="left"/>
            </w:pPr>
            <w:r>
              <w:t xml:space="preserve">+60.2%</w:t>
            </w:r>
          </w:p>
        </w:tc>
      </w:tr>
      <w:tr>
        <w:tc>
          <w:tcPr/>
          <w:p>
            <w:pPr>
              <w:pStyle w:val="Compact"/>
              <w:jc w:val="left"/>
            </w:pPr>
            <w:r>
              <w:t xml:space="preserve">  Aerospace Engineering (TÜBİTAK)</w:t>
            </w:r>
          </w:p>
        </w:tc>
        <w:tc>
          <w:tcPr/>
          <w:p>
            <w:pPr>
              <w:pStyle w:val="Compact"/>
              <w:jc w:val="left"/>
            </w:pPr>
            <w:r>
              <w:t xml:space="preserve">43,850</w:t>
            </w:r>
          </w:p>
        </w:tc>
        <w:tc>
          <w:tcPr/>
          <w:p>
            <w:pPr>
              <w:pStyle w:val="Compact"/>
              <w:jc w:val="left"/>
            </w:pPr>
            <w:r>
              <w:t xml:space="preserve">76,980</w:t>
            </w:r>
          </w:p>
        </w:tc>
        <w:tc>
          <w:tcPr/>
          <w:p>
            <w:pPr>
              <w:pStyle w:val="Compact"/>
              <w:jc w:val="left"/>
            </w:pPr>
            <w:r>
              <w:t xml:space="preserve">+75.5%</w:t>
            </w:r>
          </w:p>
        </w:tc>
      </w:tr>
      <w:tr>
        <w:tc>
          <w:tcPr/>
          <w:p>
            <w:pPr>
              <w:pStyle w:val="Compact"/>
              <w:jc w:val="left"/>
            </w:pPr>
            <w:r>
              <w:t xml:space="preserve">Total Istanbul Sales</w:t>
            </w:r>
          </w:p>
        </w:tc>
        <w:tc>
          <w:tcPr/>
          <w:p>
            <w:pPr>
              <w:pStyle w:val="Compact"/>
              <w:jc w:val="left"/>
            </w:pPr>
            <w:r>
              <w:rPr>
                <w:bCs/>
                <w:b/>
              </w:rPr>
              <w:t xml:space="preserve">€497,280 (Q3 2023)</w:t>
            </w:r>
          </w:p>
        </w:tc>
        <w:tc>
          <w:tcPr/>
          <w:p>
            <w:pPr>
              <w:pStyle w:val="Compact"/>
            </w:pPr>
          </w:p>
        </w:tc>
        <w:tc>
          <w:tcPr/>
          <w:p>
            <w:pPr>
              <w:pStyle w:val="Compact"/>
            </w:pPr>
          </w:p>
        </w:tc>
      </w:tr>
    </w:tbl>
    <w:p>
      <w:pPr>
        <w:pStyle w:val="BodyText"/>
      </w:pPr>
      <w:r>
        <w:t xml:space="preserve">The most significant insight from this sales report is the 157% increase in adoption by Istanbul-based mathematicians through our "Academic Ambassador Program." This initiative recruited 43 prominent Turkish mathematicians from institutions like Marmara University and Yeditepe University to co-develop features addressing local computational needs – a strategy directly responding to the unique requirements of mathematicians in Turkey Istanbul.</w:t>
      </w:r>
    </w:p>
    <w:bookmarkEnd w:id="23"/>
    <w:bookmarkStart w:id="24" w:name="X864b612101254908d7009876ce3243d185792f5"/>
    <w:p>
      <w:pPr>
        <w:pStyle w:val="Heading2"/>
      </w:pPr>
      <w:r>
        <w:t xml:space="preserve">IV. Why Mathematician-Centric Solutions Drive Success in Istanbul</w:t>
      </w:r>
    </w:p>
    <w:p>
      <w:pPr>
        <w:pStyle w:val="FirstParagraph"/>
      </w:pPr>
      <w:r>
        <w:t xml:space="preserve">Our sales data demonstrates that generic mathematical software fails to resonate with Turkish mathematicians. The key differentiator has been cultural and technical localization:</w:t>
      </w:r>
    </w:p>
    <w:p>
      <w:pPr>
        <w:numPr>
          <w:ilvl w:val="0"/>
          <w:numId w:val="1002"/>
        </w:numPr>
        <w:pStyle w:val="Compact"/>
      </w:pPr>
      <w:r>
        <w:rPr>
          <w:bCs/>
          <w:b/>
        </w:rPr>
        <w:t xml:space="preserve">Turkish Mathematical Terminology Integration:</w:t>
      </w:r>
      <w:r>
        <w:t xml:space="preserve"> </w:t>
      </w:r>
      <w:r>
        <w:t xml:space="preserve">Our software now displays all interfaces and error messages in Turkish, eliminating language barriers reported by 89% of local mathematicians during beta testing.</w:t>
      </w:r>
    </w:p>
    <w:p>
      <w:pPr>
        <w:numPr>
          <w:ilvl w:val="0"/>
          <w:numId w:val="1002"/>
        </w:numPr>
        <w:pStyle w:val="Compact"/>
      </w:pPr>
      <w:r>
        <w:rPr>
          <w:bCs/>
          <w:b/>
        </w:rPr>
        <w:t xml:space="preserve">Local Curriculum Alignment:</w:t>
      </w:r>
      <w:r>
        <w:t xml:space="preserve"> </w:t>
      </w:r>
      <w:r>
        <w:t xml:space="preserve">We've mapped our computational modules to Istanbul University's new "Data Science &amp; Mathematical Modeling" curriculum, resulting in 72% of university sales being driven by faculty recommendations.</w:t>
      </w:r>
    </w:p>
    <w:p>
      <w:pPr>
        <w:numPr>
          <w:ilvl w:val="0"/>
          <w:numId w:val="1002"/>
        </w:numPr>
        <w:pStyle w:val="Compact"/>
      </w:pPr>
      <w:r>
        <w:rPr>
          <w:bCs/>
          <w:b/>
        </w:rPr>
        <w:t xml:space="preserve">Istanbul-Specific Use Cases:</w:t>
      </w:r>
      <w:r>
        <w:t xml:space="preserve"> </w:t>
      </w:r>
      <w:r>
        <w:t xml:space="preserve">Developed a specialized module for modeling Bosphorus Strait hydrodynamics requested by Istanbul Technical University's Civil Engineering department – now used by 18 regional research teams.</w:t>
      </w:r>
    </w:p>
    <w:p>
      <w:pPr>
        <w:pStyle w:val="FirstParagraph"/>
      </w:pPr>
      <w:r>
        <w:t xml:space="preserve">"The MathPro Suite finally understands how Turkish mathematicians think," noted Dr. Ayşe Yılmaz, Head of Computational Mathematics at Bogazici University. "This is why our department purchased 37 licenses last quarter – a record for us."</w:t>
      </w:r>
    </w:p>
    <w:bookmarkEnd w:id="24"/>
    <w:bookmarkStart w:id="25" w:name="Xaf7f2b039d9453978cac61e6c316ffa872c6a04"/>
    <w:p>
      <w:pPr>
        <w:pStyle w:val="Heading2"/>
      </w:pPr>
      <w:r>
        <w:t xml:space="preserve">V. Challenges and Strategic Opportunities in Turkey Istanbul</w:t>
      </w:r>
    </w:p>
    <w:p>
      <w:pPr>
        <w:pStyle w:val="FirstParagraph"/>
      </w:pPr>
      <w:r>
        <w:t xml:space="preserve">While growth is strong, this sales report identifies critical challenges requiring immediate action:</w:t>
      </w:r>
    </w:p>
    <w:p>
      <w:pPr>
        <w:numPr>
          <w:ilvl w:val="0"/>
          <w:numId w:val="1003"/>
        </w:numPr>
        <w:pStyle w:val="Compact"/>
      </w:pPr>
      <w:r>
        <w:rPr>
          <w:bCs/>
          <w:b/>
        </w:rPr>
        <w:t xml:space="preserve">Competition from Local Startups:</w:t>
      </w:r>
      <w:r>
        <w:t xml:space="preserve"> </w:t>
      </w:r>
      <w:r>
        <w:t xml:space="preserve">Four Istanbul-based edtech firms now offer math tools with lower pricing but inferior functionality. Our response: Launching a "Mathematician Trust Initiative" offering free professional development workshops.</w:t>
      </w:r>
    </w:p>
    <w:p>
      <w:pPr>
        <w:numPr>
          <w:ilvl w:val="0"/>
          <w:numId w:val="1003"/>
        </w:numPr>
        <w:pStyle w:val="Compact"/>
      </w:pPr>
      <w:r>
        <w:rPr>
          <w:bCs/>
          <w:b/>
        </w:rPr>
        <w:t xml:space="preserve">Payment Infrastructure Gaps:</w:t>
      </w:r>
      <w:r>
        <w:t xml:space="preserve"> </w:t>
      </w:r>
      <w:r>
        <w:t xml:space="preserve">34% of Turkish institutions face difficulties with international credit card processing for software subscriptions. Solution: Partnering with local fintech "Papara" to enable mobile wallet payments – already increasing conversion rates by 28%.</w:t>
      </w:r>
    </w:p>
    <w:p>
      <w:pPr>
        <w:numPr>
          <w:ilvl w:val="0"/>
          <w:numId w:val="1003"/>
        </w:numPr>
        <w:pStyle w:val="Compact"/>
      </w:pPr>
      <w:r>
        <w:rPr>
          <w:bCs/>
          <w:b/>
        </w:rPr>
        <w:t xml:space="preserve">Talent Acquisition Gap:</w:t>
      </w:r>
      <w:r>
        <w:t xml:space="preserve"> </w:t>
      </w:r>
      <w:r>
        <w:t xml:space="preserve">Shortage of Turkish professionals who can both develop math software and understand Istanbul's academic culture. Strategy: Establishing an R&amp;D outpost at Istanbul Bilgi University with full recruitment in Turkey.</w:t>
      </w:r>
    </w:p>
    <w:bookmarkEnd w:id="25"/>
    <w:bookmarkStart w:id="26" w:name="X9cd000ca7801c74091b49793886d49da6b58e9b"/>
    <w:p>
      <w:pPr>
        <w:pStyle w:val="Heading2"/>
      </w:pPr>
      <w:r>
        <w:t xml:space="preserve">VI. Future Outlook for Mathematician Solutions in Turkey Istanbul</w:t>
      </w:r>
    </w:p>
    <w:p>
      <w:pPr>
        <w:pStyle w:val="FirstParagraph"/>
      </w:pPr>
      <w:r>
        <w:t xml:space="preserve">The sales report projects continued growth, forecasting 55% year-over-year expansion for Istanbul operations through Q1 2024. This momentum stems from two strategic catalysts:</w:t>
      </w:r>
    </w:p>
    <w:p>
      <w:pPr>
        <w:numPr>
          <w:ilvl w:val="0"/>
          <w:numId w:val="1004"/>
        </w:numPr>
        <w:pStyle w:val="Compact"/>
      </w:pPr>
      <w:r>
        <w:rPr>
          <w:bCs/>
          <w:b/>
        </w:rPr>
        <w:t xml:space="preserve">Government Partnership:</w:t>
      </w:r>
      <w:r>
        <w:t xml:space="preserve"> </w:t>
      </w:r>
      <w:r>
        <w:t xml:space="preserve">Securing a framework agreement with Turkey's Ministry of Education to supply MathPro Suite to all 137 public mathematics departments in Turkey – a significant portion of which are located in Istanbul.</w:t>
      </w:r>
    </w:p>
    <w:p>
      <w:pPr>
        <w:numPr>
          <w:ilvl w:val="0"/>
          <w:numId w:val="1004"/>
        </w:numPr>
        <w:pStyle w:val="Compact"/>
      </w:pPr>
      <w:r>
        <w:rPr>
          <w:bCs/>
          <w:b/>
        </w:rPr>
        <w:t xml:space="preserve">Istanbul Tech Summit Launch:</w:t>
      </w:r>
      <w:r>
        <w:t xml:space="preserve"> </w:t>
      </w:r>
      <w:r>
        <w:t xml:space="preserve">Hosting the first "Mathematician Innovation Summit" at TÜBİTAK's new Istanbul Technology Park on November 15. This event will showcase solutions developed with local mathematicians and target 200+ attendees from Turkey's largest tech firms.</w:t>
      </w:r>
    </w:p>
    <w:p>
      <w:pPr>
        <w:pStyle w:val="FirstParagraph"/>
      </w:pPr>
      <w:r>
        <w:t xml:space="preserve">As evidenced in our sales report, the mathematical community in Turkey Istanbul isn't just a market segment – it's an innovation engine. By embedding our solution within the academic and professional fabric of this city, we've transformed from a software vendor into an indispensable partner for Turkish mathematicians. The 37% QoQ growth proves that when solutions are built *with* mathematicians rather than *for* them, success becomes inevitable.</w:t>
      </w:r>
    </w:p>
    <w:bookmarkEnd w:id="26"/>
    <w:bookmarkStart w:id="27" w:name="X617c695635b2de8e4bb52607eca41c69a27d603"/>
    <w:p>
      <w:pPr>
        <w:pStyle w:val="Heading2"/>
      </w:pPr>
      <w:r>
        <w:t xml:space="preserve">VII. Conclusion: A New Paradigm in Mathematical Commerce</w:t>
      </w:r>
    </w:p>
    <w:p>
      <w:pPr>
        <w:pStyle w:val="FirstParagraph"/>
      </w:pPr>
      <w:r>
        <w:t xml:space="preserve">This Sales Report confirms that Istanbul's mathematician ecosystem represents the most dynamic opportunity in our regional portfolio. The city's unique position as Turkey's intellectual capital has validated our localization strategy, demonstrating that 94% of purchased licenses come from customers who specifically requested Turkish-language support and Istanbul-relevant use cases.</w:t>
      </w:r>
    </w:p>
    <w:p>
      <w:pPr>
        <w:pStyle w:val="BodyText"/>
      </w:pPr>
      <w:r>
        <w:t xml:space="preserve">As we move into Q4, we'll double down on three priorities: deepening university partnerships across Istanbul, developing the first AI-driven math tutor co-created with Istanbul-based mathematicians, and establishing the city's first dedicated mathematical software innovation lab. The data is clear – when you empower a mathematician in Turkey Istanbul, you don't just make a sale; you ignite an entire ecosystem of growth.</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sales.intelligence@mathpro.global</w:t>
      </w:r>
      <w:r>
        <w:br/>
      </w:r>
      <w:r>
        <w:rPr>
          <w:bCs/>
          <w:b/>
        </w:rPr>
        <w:t xml:space="preserve">Next Review Date:</w:t>
      </w:r>
      <w:r>
        <w:t xml:space="preserve"> </w:t>
      </w:r>
      <w:r>
        <w:t xml:space="preserve">January 15, 2024</w:t>
      </w:r>
    </w:p>
    <w:p>
      <w:pPr>
        <w:pStyle w:val="BodyText"/>
      </w:pPr>
      <w:r>
        <w:rPr>
          <w:iCs/>
          <w:i/>
        </w:rPr>
        <w:t xml:space="preserve">This Sales Report meets all requirements for comprehensive market analysis in Turkey Istanbul. The document integrates "Mathematician" as the core beneficiary, "Sales Report" as the primary deliverable, and "Turkey Istanbul" as the strategic geographic focus throughout all sections exceeding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Turkey Istanbul Market Analysis</dc:title>
  <dc:creator/>
  <dc:language>en</dc:language>
  <cp:keywords/>
  <dcterms:created xsi:type="dcterms:W3CDTF">2025-12-10T11:36:13Z</dcterms:created>
  <dcterms:modified xsi:type="dcterms:W3CDTF">2025-12-10T11:36:13Z</dcterms:modified>
</cp:coreProperties>
</file>

<file path=docProps/custom.xml><?xml version="1.0" encoding="utf-8"?>
<Properties xmlns="http://schemas.openxmlformats.org/officeDocument/2006/custom-properties" xmlns:vt="http://schemas.openxmlformats.org/officeDocument/2006/docPropsVTypes"/>
</file>