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Sales</w:t>
      </w:r>
      <w:r>
        <w:t xml:space="preserve"> </w:t>
      </w:r>
      <w:r>
        <w:t xml:space="preserve">Report:</w:t>
      </w:r>
      <w:r>
        <w:t xml:space="preserve"> </w:t>
      </w:r>
      <w:r>
        <w:t xml:space="preserve">Mathematical</w:t>
      </w:r>
      <w:r>
        <w:t xml:space="preserve"> </w:t>
      </w:r>
      <w:r>
        <w:t xml:space="preserve">Expertise</w:t>
      </w:r>
      <w:r>
        <w:t xml:space="preserve"> </w:t>
      </w:r>
      <w:r>
        <w:t xml:space="preserve">Solutions</w:t>
      </w:r>
    </w:p>
    <w:bookmarkStart w:id="28" w:name="X2e2af70fb6e70013346cc3f22876da5c1a8a696"/>
    <w:p>
      <w:pPr>
        <w:pStyle w:val="Heading1"/>
      </w:pPr>
      <w:r>
        <w:t xml:space="preserve">Sales Report: Advanced Mathematical Solutions for United Arab Emirates Abu Dhabi Market</w:t>
      </w:r>
    </w:p>
    <w:bookmarkStart w:id="20" w:name="executive-summary"/>
    <w:p>
      <w:pPr>
        <w:pStyle w:val="Heading2"/>
      </w:pPr>
      <w:r>
        <w:t xml:space="preserve">Executive Summary</w:t>
      </w:r>
    </w:p>
    <w:p>
      <w:pPr>
        <w:pStyle w:val="FirstParagraph"/>
      </w:pPr>
      <w:r>
        <w:t xml:space="preserve">This comprehensive Sales Report details the performance of our premium mathematical consultancy services across the United Arab Emirates Abu Dhabi market during Q3 2023. The report highlights significant growth in demand for specialized mathematical expertise, driven by Abu Dhabi's strategic vision for data-driven economic transformation. Our team of elite Mathematician professionals delivered a 37% year-over-year sales increase, securing contracts with major entities including Abu Dhabi National Oil Company (ADNOC), Masdar City, and the Department of Economic Development. This report confirms that mathematical innovation is now a cornerstone of Abu Dhabi's business acceleration strategy.</w:t>
      </w:r>
    </w:p>
    <w:bookmarkEnd w:id="20"/>
    <w:bookmarkStart w:id="21" w:name="Xd30efc24f6b8fa2f5e860764f4095f6d84dcf95"/>
    <w:p>
      <w:pPr>
        <w:pStyle w:val="Heading2"/>
      </w:pPr>
      <w:r>
        <w:t xml:space="preserve">Market Context: The Abu Dhabi Mathematical Imperative</w:t>
      </w:r>
    </w:p>
    <w:p>
      <w:pPr>
        <w:pStyle w:val="FirstParagraph"/>
      </w:pPr>
      <w:r>
        <w:t xml:space="preserve">The United Arab Emirates Abu Dhabi has positioned itself as a global leader in smart city development and AI integration, directly creating unprecedented demand for advanced mathematical solutions. As outlined in Abu Dhabi Economic Vision 2030, the emirate requires sophisticated data analytics to optimize oil and gas operations, sustainable urban planning, and financial market regulation. This environment has elevated the Mathematician from a support role to a strategic asset. Our Q3 sales demonstrate this shift—82% of new contracts specifically requested mathematicians with expertise in computational fluid dynamics (CFD) and machine learning applications for energy sector optimization.</w:t>
      </w:r>
    </w:p>
    <w:bookmarkEnd w:id="21"/>
    <w:bookmarkStart w:id="22" w:name="q3-2023-sales-performance-overview"/>
    <w:p>
      <w:pPr>
        <w:pStyle w:val="Heading2"/>
      </w:pPr>
      <w:r>
        <w:t xml:space="preserve">Q3 2023 Sales Performance Overview</w:t>
      </w:r>
    </w:p>
    <w:p>
      <w:pPr>
        <w:pStyle w:val="FirstParagraph"/>
      </w:pPr>
      <w:r>
        <w:t xml:space="preserve">Category</w:t>
      </w:r>
    </w:p>
    <w:p>
      <w:pPr>
        <w:pStyle w:val="BodyText"/>
      </w:pPr>
      <w:r>
        <w:t xml:space="preserve">Q3 2023 Revenue (AED)</w:t>
      </w:r>
    </w:p>
    <w:p>
      <w:pPr>
        <w:pStyle w:val="BodyText"/>
      </w:pPr>
      <w:r>
        <w:t xml:space="preserve">% YoY Change</w:t>
      </w:r>
    </w:p>
    <w:p>
      <w:pPr>
        <w:pStyle w:val="BodyText"/>
      </w:pPr>
      <w:r>
        <w:t xml:space="preserve">Key Clients in Abu Dhabi</w:t>
      </w:r>
    </w:p>
    <w:p>
      <w:pPr>
        <w:pStyle w:val="BodyText"/>
      </w:pPr>
      <w:r>
        <w:t xml:space="preserve">Energy Sector Optimization</w:t>
      </w:r>
    </w:p>
    <w:p>
      <w:pPr>
        <w:pStyle w:val="BodyText"/>
      </w:pPr>
      <w:r>
        <w:t xml:space="preserve">14,750,000</w:t>
      </w:r>
    </w:p>
    <w:p>
      <w:pPr>
        <w:pStyle w:val="BodyText"/>
      </w:pPr>
      <w:r>
        <w:t xml:space="preserve">+42%</w:t>
      </w:r>
    </w:p>
    <w:p>
      <w:pPr>
        <w:pStyle w:val="BodyText"/>
      </w:pPr>
      <w:r>
        <w:t xml:space="preserve">ADNOC, Gulf Petrochemicals</w:t>
      </w:r>
    </w:p>
    <w:p>
      <w:pPr>
        <w:pStyle w:val="BodyText"/>
      </w:pPr>
      <w:r>
        <w:t xml:space="preserve">Sustainable Urban Analytics</w:t>
      </w:r>
    </w:p>
    <w:p>
      <w:pPr>
        <w:pStyle w:val="BodyText"/>
      </w:pPr>
      <w:r>
        <w:t xml:space="preserve">8,925,000</w:t>
      </w:r>
    </w:p>
    <w:p>
      <w:pPr>
        <w:pStyle w:val="BodyText"/>
      </w:pPr>
      <w:r>
        <w:t xml:space="preserve">+31%</w:t>
      </w:r>
    </w:p>
    <w:p>
      <w:pPr>
        <w:pStyle w:val="BodyText"/>
      </w:pPr>
      <w:r>
        <w:t xml:space="preserve">Masdar City Development, Abu Dhabi Municipality</w:t>
      </w:r>
    </w:p>
    <w:p>
      <w:pPr>
        <w:pStyle w:val="BodyText"/>
      </w:pPr>
      <w:r>
        <w:t xml:space="preserve">Financial Risk Modeling</w:t>
      </w:r>
    </w:p>
    <w:p>
      <w:pPr>
        <w:pStyle w:val="BodyText"/>
      </w:pPr>
      <w:r>
        <w:t xml:space="preserve">6,475,000</w:t>
      </w:r>
    </w:p>
    <w:p>
      <w:pPr>
        <w:pStyle w:val="BodyText"/>
      </w:pPr>
      <w:r>
        <w:t xml:space="preserve">+28%</w:t>
      </w:r>
    </w:p>
    <w:p>
      <w:pPr>
        <w:pStyle w:val="BodyText"/>
      </w:pPr>
      <w:r>
        <w:t xml:space="preserve">NBD Abu Dhabi, ADGM Financial Centre</w:t>
      </w:r>
    </w:p>
    <w:p>
      <w:pPr>
        <w:pStyle w:val="BodyText"/>
      </w:pPr>
      <w:r>
        <w:rPr>
          <w:bCs/>
          <w:b/>
        </w:rPr>
        <w:t xml:space="preserve">Total Revenue (Abu Dhabi)</w:t>
      </w:r>
    </w:p>
    <w:p>
      <w:pPr>
        <w:pStyle w:val="BodyText"/>
      </w:pPr>
      <w:r>
        <w:rPr>
          <w:bCs/>
          <w:b/>
        </w:rPr>
        <w:t xml:space="preserve">29,150,000</w:t>
      </w:r>
    </w:p>
    <w:p>
      <w:pPr>
        <w:pStyle w:val="BodyText"/>
      </w:pPr>
      <w:r>
        <w:rPr>
          <w:bCs/>
          <w:b/>
        </w:rPr>
        <w:t xml:space="preserve">+37%</w:t>
      </w:r>
    </w:p>
    <w:p>
      <w:pPr>
        <w:pStyle w:val="BodyText"/>
      </w:pPr>
      <w:r>
        <w:rPr>
          <w:iCs/>
          <w:i/>
        </w:rPr>
        <w:t xml:space="preserve">All major Abu Dhabi government entities</w:t>
      </w:r>
    </w:p>
    <w:bookmarkEnd w:id="22"/>
    <w:bookmarkStart w:id="23" w:name="Xa5b57885fb8136dbf0f5d02dbab1a708defd501"/>
    <w:p>
      <w:pPr>
        <w:pStyle w:val="Heading2"/>
      </w:pPr>
      <w:r>
        <w:t xml:space="preserve">Why Mathematicians Are Driving Abu Dhabi's Growth</w:t>
      </w:r>
    </w:p>
    <w:p>
      <w:pPr>
        <w:pStyle w:val="FirstParagraph"/>
      </w:pPr>
      <w:r>
        <w:t xml:space="preserve">The success of our sales directly correlates with the unique value proposition of our Mathematician professionals. Unlike generic data analysts, our team members—each holding advanced degrees in applied mathematics from institutions like Masdar Institute and Khalifa University—deliver solutions that solve Abu Dhabi's most complex challenges:</w:t>
      </w:r>
    </w:p>
    <w:p>
      <w:pPr>
        <w:numPr>
          <w:ilvl w:val="0"/>
          <w:numId w:val="1001"/>
        </w:numPr>
        <w:pStyle w:val="Compact"/>
      </w:pPr>
      <w:r>
        <w:rPr>
          <w:bCs/>
          <w:b/>
        </w:rPr>
        <w:t xml:space="preserve">Energy Sector Impact:</w:t>
      </w:r>
      <w:r>
        <w:t xml:space="preserve"> </w:t>
      </w:r>
      <w:r>
        <w:t xml:space="preserve">A Mathematician-led project at ADNOC reduced predictive maintenance costs by 27% through AI models analyzing real-time sensor data across 1,200+ offshore rigs. This resulted in a $3.8M contract renewal and expansion to three additional oil fields.</w:t>
      </w:r>
    </w:p>
    <w:p>
      <w:pPr>
        <w:numPr>
          <w:ilvl w:val="0"/>
          <w:numId w:val="1001"/>
        </w:numPr>
        <w:pStyle w:val="Compact"/>
      </w:pPr>
      <w:r>
        <w:rPr>
          <w:bCs/>
          <w:b/>
        </w:rPr>
        <w:t xml:space="preserve">Sustainable Urban Planning:</w:t>
      </w:r>
      <w:r>
        <w:t xml:space="preserve"> </w:t>
      </w:r>
      <w:r>
        <w:t xml:space="preserve">Our Mathematician team designed Abu Dhabi's first dynamic traffic flow optimization system for Masdar City, cutting average commute times by 22% during peak hours. The solution was featured in the UAE National Smart Cities Summit.</w:t>
      </w:r>
    </w:p>
    <w:p>
      <w:pPr>
        <w:numPr>
          <w:ilvl w:val="0"/>
          <w:numId w:val="1001"/>
        </w:numPr>
        <w:pStyle w:val="Compact"/>
      </w:pPr>
      <w:r>
        <w:rPr>
          <w:bCs/>
          <w:b/>
        </w:rPr>
        <w:t xml:space="preserve">Financial Innovation:</w:t>
      </w:r>
      <w:r>
        <w:t xml:space="preserve"> </w:t>
      </w:r>
      <w:r>
        <w:t xml:space="preserve">For ADGM Financial Centre, a Mathematician developed a volatility prediction model that improved risk assessment accuracy by 41%, attracting new fintech clients to Abu Dhabi's financial hub.</w:t>
      </w:r>
    </w:p>
    <w:bookmarkEnd w:id="23"/>
    <w:bookmarkStart w:id="24" w:name="abu-dhabi-specific-market-trends"/>
    <w:p>
      <w:pPr>
        <w:pStyle w:val="Heading2"/>
      </w:pPr>
      <w:r>
        <w:t xml:space="preserve">Abu Dhabi-Specific Market Trends</w:t>
      </w:r>
    </w:p>
    <w:p>
      <w:pPr>
        <w:pStyle w:val="FirstParagraph"/>
      </w:pPr>
      <w:r>
        <w:t xml:space="preserve">The United Arab Emirates Abu Dhabi market demonstrates distinctive purchasing patterns requiring specialized sales approaches:</w:t>
      </w:r>
    </w:p>
    <w:p>
      <w:pPr>
        <w:numPr>
          <w:ilvl w:val="0"/>
          <w:numId w:val="1002"/>
        </w:numPr>
        <w:pStyle w:val="Compact"/>
      </w:pPr>
      <w:r>
        <w:rPr>
          <w:bCs/>
          <w:b/>
        </w:rPr>
        <w:t xml:space="preserve">Government-Driven Procurement:</w:t>
      </w:r>
      <w:r>
        <w:t xml:space="preserve"> </w:t>
      </w:r>
      <w:r>
        <w:t xml:space="preserve">78% of our contracts originate from UAE government entities, with explicit requirements for "mathematician-certified solutions" in tender documents. We now include Mathematician credentials as non-negotiables in all Abu Dhabi proposals.</w:t>
      </w:r>
    </w:p>
    <w:p>
      <w:pPr>
        <w:numPr>
          <w:ilvl w:val="0"/>
          <w:numId w:val="1002"/>
        </w:numPr>
        <w:pStyle w:val="Compact"/>
      </w:pPr>
      <w:r>
        <w:rPr>
          <w:bCs/>
          <w:b/>
        </w:rPr>
        <w:t xml:space="preserve">Cultural Alignment:</w:t>
      </w:r>
      <w:r>
        <w:t xml:space="preserve"> </w:t>
      </w:r>
      <w:r>
        <w:t xml:space="preserve">Sales teams adapted to Abu Dhabi's preference for relationship-based contracts. Our local sales manager (based in Abu Dhabi) conducts "Mathematician consultation forums" where clients meet our experts directly—resulting in a 63% higher conversion rate than standard proposals.</w:t>
      </w:r>
    </w:p>
    <w:p>
      <w:pPr>
        <w:numPr>
          <w:ilvl w:val="0"/>
          <w:numId w:val="1002"/>
        </w:numPr>
        <w:pStyle w:val="Compact"/>
      </w:pPr>
      <w:r>
        <w:rPr>
          <w:bCs/>
          <w:b/>
        </w:rPr>
        <w:t xml:space="preserve">Sustainability Mandates:</w:t>
      </w:r>
      <w:r>
        <w:t xml:space="preserve"> </w:t>
      </w:r>
      <w:r>
        <w:t xml:space="preserve">New Dubai and Abu Dhabi regulations now require mathematical validation of sustainability claims. This created a 150% surge in demand for Mathematician-driven carbon footprint modeling services across the emirate.</w:t>
      </w:r>
    </w:p>
    <w:bookmarkEnd w:id="24"/>
    <w:bookmarkStart w:id="25" w:name="challenges-and-strategic-response"/>
    <w:p>
      <w:pPr>
        <w:pStyle w:val="Heading2"/>
      </w:pPr>
      <w:r>
        <w:t xml:space="preserve">Challenges and Strategic Response</w:t>
      </w:r>
    </w:p>
    <w:p>
      <w:pPr>
        <w:pStyle w:val="FirstParagraph"/>
      </w:pPr>
      <w:r>
        <w:t xml:space="preserve">Despite growth, we identified two critical challenges specific to Abu Dhabi's market:</w:t>
      </w:r>
    </w:p>
    <w:p>
      <w:pPr>
        <w:numPr>
          <w:ilvl w:val="0"/>
          <w:numId w:val="1003"/>
        </w:numPr>
        <w:pStyle w:val="Compact"/>
      </w:pPr>
      <w:r>
        <w:rPr>
          <w:bCs/>
          <w:b/>
        </w:rPr>
        <w:t xml:space="preserve">Talent Competition:</w:t>
      </w:r>
      <w:r>
        <w:t xml:space="preserve"> </w:t>
      </w:r>
      <w:r>
        <w:t xml:space="preserve">Competitors bid aggressively for Mathematician professionals with UAE experience. Our response: Launched the "Abu Dhabi Mathematician Fellowship" offering accelerated visa processing and local cultural training, reducing recruitment time by 68%.</w:t>
      </w:r>
    </w:p>
    <w:p>
      <w:pPr>
        <w:numPr>
          <w:ilvl w:val="0"/>
          <w:numId w:val="1003"/>
        </w:numPr>
        <w:pStyle w:val="Compact"/>
      </w:pPr>
      <w:r>
        <w:rPr>
          <w:bCs/>
          <w:b/>
        </w:rPr>
        <w:t xml:space="preserve">Scope Creep in Government Projects:</w:t>
      </w:r>
      <w:r>
        <w:t xml:space="preserve"> </w:t>
      </w:r>
      <w:r>
        <w:t xml:space="preserve">Initial contracts often lacked precise mathematical requirements. We now mandate a "Mathematician Scoping Workshop" at project kickoff—ensuring clients understand the value of our expertise upfront. This eliminated 34% of scope-related disputes.</w:t>
      </w:r>
    </w:p>
    <w:bookmarkEnd w:id="25"/>
    <w:bookmarkStart w:id="26" w:name="X6d12236b6d6f89f4f00b1e1fc5a022c8b8d105a"/>
    <w:p>
      <w:pPr>
        <w:pStyle w:val="Heading2"/>
      </w:pPr>
      <w:r>
        <w:t xml:space="preserve">Future Outlook: The Mathematician Advantage in Abu Dhabi</w:t>
      </w:r>
    </w:p>
    <w:p>
      <w:pPr>
        <w:pStyle w:val="FirstParagraph"/>
      </w:pPr>
      <w:r>
        <w:t xml:space="preserve">The United Arab Emirates Abu Dhabi market presents exceptional growth potential for mathematical solutions, with the following strategic opportunities:</w:t>
      </w:r>
    </w:p>
    <w:p>
      <w:pPr>
        <w:numPr>
          <w:ilvl w:val="0"/>
          <w:numId w:val="1004"/>
        </w:numPr>
        <w:pStyle w:val="Compact"/>
      </w:pPr>
      <w:r>
        <w:rPr>
          <w:bCs/>
          <w:b/>
        </w:rPr>
        <w:t xml:space="preserve">Smart Infrastructure Expansion:</w:t>
      </w:r>
      <w:r>
        <w:t xml:space="preserve"> </w:t>
      </w:r>
      <w:r>
        <w:t xml:space="preserve">As Abu Dhabi invests $15B in new smart city infrastructure by 2026, our Mathematician team is positioned to lead predictive analytics for water management systems and renewable energy grids.</w:t>
      </w:r>
    </w:p>
    <w:p>
      <w:pPr>
        <w:numPr>
          <w:ilvl w:val="0"/>
          <w:numId w:val="1004"/>
        </w:numPr>
        <w:pStyle w:val="Compact"/>
      </w:pPr>
      <w:r>
        <w:rPr>
          <w:bCs/>
          <w:b/>
        </w:rPr>
        <w:t xml:space="preserve">Educational Partnerships:</w:t>
      </w:r>
      <w:r>
        <w:t xml:space="preserve"> </w:t>
      </w:r>
      <w:r>
        <w:t xml:space="preserve">Collaborating with Khalifa University on "Mathematician Incubator Programs" will create a talent pipeline while securing long-term government contracts through educational partnerships.</w:t>
      </w:r>
    </w:p>
    <w:p>
      <w:pPr>
        <w:numPr>
          <w:ilvl w:val="0"/>
          <w:numId w:val="1004"/>
        </w:numPr>
        <w:pStyle w:val="Compact"/>
      </w:pPr>
      <w:r>
        <w:rPr>
          <w:bCs/>
          <w:b/>
        </w:rPr>
        <w:t xml:space="preserve">AI Regulatory Frameworks:</w:t>
      </w:r>
      <w:r>
        <w:t xml:space="preserve"> </w:t>
      </w:r>
      <w:r>
        <w:t xml:space="preserve">Abu Dhabi's upcoming AI regulations require mathematical validation of algorithms. We've secured pre-approval as the preferred Mathematician partner for the UAE's AI Governance Taskforce.</w:t>
      </w:r>
    </w:p>
    <w:bookmarkEnd w:id="26"/>
    <w:bookmarkStart w:id="27" w:name="conclusion"/>
    <w:p>
      <w:pPr>
        <w:pStyle w:val="Heading2"/>
      </w:pPr>
      <w:r>
        <w:t xml:space="preserve">Conclusion</w:t>
      </w:r>
    </w:p>
    <w:p>
      <w:pPr>
        <w:pStyle w:val="FirstParagraph"/>
      </w:pPr>
      <w:r>
        <w:t xml:space="preserve">This Sales Report unequivocally demonstrates that in the United Arab Emirates Abu Dhabi market, mathematical expertise isn't just a service—it's a strategic imperative. Our Mathematician professionals have transformed from support staff to revenue drivers, accounting for 73% of all new contracts in the emirate. The data confirms that when organizations invest in certified Mathematicians with deep local market knowledge, they achieve measurable operational and financial outcomes aligned with Abu Dhabi's Vision 2030 goals.</w:t>
      </w:r>
    </w:p>
    <w:p>
      <w:pPr>
        <w:pStyle w:val="BodyText"/>
      </w:pPr>
      <w:r>
        <w:t xml:space="preserve">As we move into Q4 2023, our sales strategy will intensify focus on the Abu Dhabi Innovation Hub projects and expand Mathematician capacity by 45% to meet projected demand. We confidently project a 50% revenue increase in Abu Dhabi for next year, cementing our position as the leading mathematical solutions provider for the United Arab Emirates' most strategic market.</w:t>
      </w:r>
    </w:p>
    <w:p>
      <w:pPr>
        <w:pStyle w:val="BodyText"/>
      </w:pPr>
      <w:r>
        <w:rPr>
          <w:bCs/>
          <w:b/>
        </w:rPr>
        <w:t xml:space="preserve">Prepared By:</w:t>
      </w:r>
      <w:r>
        <w:t xml:space="preserve"> </w:t>
      </w:r>
      <w:r>
        <w:t xml:space="preserve">Global Sales Intelligence Unit</w:t>
      </w:r>
      <w:r>
        <w:br/>
      </w:r>
      <w:r>
        <w:rPr>
          <w:bCs/>
          <w:b/>
        </w:rPr>
        <w:t xml:space="preserve">Date:</w:t>
      </w:r>
      <w:r>
        <w:t xml:space="preserve"> </w:t>
      </w:r>
      <w:r>
        <w:t xml:space="preserve">October 26, 2023</w:t>
      </w:r>
      <w:r>
        <w:br/>
      </w:r>
      <w:r>
        <w:rPr>
          <w:bCs/>
          <w:b/>
        </w:rPr>
        <w:t xml:space="preserve">For:</w:t>
      </w:r>
      <w:r>
        <w:t xml:space="preserve"> </w:t>
      </w:r>
      <w:r>
        <w:t xml:space="preserve">Executive Board, United Arab Emirates Abu Dhabi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Sales Report: Mathematical Expertise Solutions</dc:title>
  <dc:creator/>
  <dc:language>en</dc:language>
  <cp:keywords/>
  <dcterms:created xsi:type="dcterms:W3CDTF">2026-07-23T15:42:40Z</dcterms:created>
  <dcterms:modified xsi:type="dcterms:W3CDTF">2026-07-23T15:42:40Z</dcterms:modified>
</cp:coreProperties>
</file>

<file path=docProps/custom.xml><?xml version="1.0" encoding="utf-8"?>
<Properties xmlns="http://schemas.openxmlformats.org/officeDocument/2006/custom-properties" xmlns:vt="http://schemas.openxmlformats.org/officeDocument/2006/docPropsVTypes"/>
</file>