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Suite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82bde92433fe441c9c9d1234f8bfaac97dda544"/>
    <w:p>
      <w:pPr>
        <w:pStyle w:val="Heading1"/>
      </w:pPr>
      <w:r>
        <w:t xml:space="preserve">Comprehensive Sales Performance Report: Mathematician Product Suite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Sales Report for the "Mathematician" AI-powered analytics suite demonstrates exceptional growth within the United Arab Emirates Dubai market, achieving a remarkable 147% year-over-year revenue increase during Q3 2023. This performance solidifies our position as the leading mathematical intelligence solution in Dubai's rapidly evolving digital economy. The United Arab Emirates Dubai ecosystem has proven exceptionally receptive to our platform, driven by strategic alignment with Dubai's Vision 2030 economic diversification goals and the emirate's aggressive investment in AI infrastructure.</w:t>
      </w:r>
    </w:p>
    <w:bookmarkEnd w:id="20"/>
    <w:bookmarkStart w:id="21" w:name="Xc65f0ebee5ee312578a789f4eac5087d2fdd6ee"/>
    <w:p>
      <w:pPr>
        <w:pStyle w:val="Heading2"/>
      </w:pPr>
      <w:r>
        <w:t xml:space="preserve">II. Market Context: United Arab Emirates Dubai as Growth Engine</w:t>
      </w:r>
    </w:p>
    <w:p>
      <w:pPr>
        <w:pStyle w:val="FirstParagraph"/>
      </w:pPr>
      <w:r>
        <w:t xml:space="preserve">As a global hub for finance, education, and technology, Dubai presents unparalleled opportunities for advanced mathematical solutions. The United Arab Emirates government has allocated $15 billion toward AI initiatives through the National Strategy for Artificial Intelligence 2031, creating massive demand for sophisticated analytical tools. Our Sales Report confirms that 78% of enterprise clients in Dubai specifically sought "Mathematician" due to its alignment with Dubai's Smart City objectives and integration capabilities with Dubai Data Authority platforms.</w:t>
      </w:r>
    </w:p>
    <w:p>
      <w:pPr>
        <w:pStyle w:val="BodyText"/>
      </w:pPr>
      <w:r>
        <w:t xml:space="preserve">Crucially, the United Arab Emirates Dubai market differentiates itself through:</w:t>
      </w:r>
    </w:p>
    <w:p>
      <w:pPr>
        <w:numPr>
          <w:ilvl w:val="0"/>
          <w:numId w:val="1001"/>
        </w:numPr>
        <w:pStyle w:val="Compact"/>
      </w:pPr>
      <w:r>
        <w:rPr>
          <w:bCs/>
          <w:b/>
        </w:rPr>
        <w:t xml:space="preserve">Regulatory Synergy:</w:t>
      </w:r>
      <w:r>
        <w:t xml:space="preserve"> </w:t>
      </w:r>
      <w:r>
        <w:t xml:space="preserve">Seamless compliance with UAE Central Bank AI regulations and Dubai International Financial Centre (DIFC) standards</w:t>
      </w:r>
    </w:p>
    <w:p>
      <w:pPr>
        <w:numPr>
          <w:ilvl w:val="0"/>
          <w:numId w:val="1001"/>
        </w:numPr>
        <w:pStyle w:val="Compact"/>
      </w:pPr>
      <w:r>
        <w:rPr>
          <w:bCs/>
          <w:b/>
        </w:rPr>
        <w:t xml:space="preserve">High-Value Target Segments:</w:t>
      </w:r>
      <w:r>
        <w:t xml:space="preserve"> </w:t>
      </w:r>
      <w:r>
        <w:t xml:space="preserve">62% of sales came from financial institutions, education sector leaders, and government entities in Dubai</w:t>
      </w:r>
    </w:p>
    <w:p>
      <w:pPr>
        <w:numPr>
          <w:ilvl w:val="0"/>
          <w:numId w:val="1001"/>
        </w:numPr>
        <w:pStyle w:val="Compact"/>
      </w:pPr>
      <w:r>
        <w:rPr>
          <w:bCs/>
          <w:b/>
        </w:rPr>
        <w:t xml:space="preserve">Cultural Resonance:</w:t>
      </w:r>
      <w:r>
        <w:t xml:space="preserve"> </w:t>
      </w:r>
      <w:r>
        <w:t xml:space="preserve">Customized Arabic-language mathematical interfaces driving adoption among local professionals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Revenue (AED)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Financial Institutions (DIFC)</w:t>
            </w:r>
          </w:p>
        </w:tc>
        <w:tc>
          <w:tcPr/>
          <w:p>
            <w:pPr>
              <w:pStyle w:val="Compact"/>
              <w:jc w:val="left"/>
            </w:pPr>
            <w:r>
              <w:t xml:space="preserve">4,280,000</w:t>
            </w:r>
          </w:p>
        </w:tc>
        <w:tc>
          <w:tcPr/>
          <w:p>
            <w:pPr>
              <w:pStyle w:val="Compact"/>
              <w:jc w:val="left"/>
            </w:pPr>
            <w:r>
              <w:t xml:space="preserve">58%</w:t>
            </w:r>
          </w:p>
        </w:tc>
        <w:tc>
          <w:tcPr/>
          <w:p>
            <w:pPr>
              <w:pStyle w:val="Compact"/>
              <w:jc w:val="left"/>
            </w:pPr>
            <w:r>
              <w:t xml:space="preserve">+173%</w:t>
            </w:r>
          </w:p>
        </w:tc>
      </w:tr>
      <w:tr>
        <w:tc>
          <w:tcPr/>
          <w:p>
            <w:pPr>
              <w:pStyle w:val="Compact"/>
              <w:jc w:val="left"/>
            </w:pPr>
            <w:r>
              <w:t xml:space="preserve">Educational Institutions (Dubai Knowledge Park)</w:t>
            </w:r>
          </w:p>
        </w:tc>
        <w:tc>
          <w:tcPr/>
          <w:p>
            <w:pPr>
              <w:pStyle w:val="Compact"/>
              <w:jc w:val="left"/>
            </w:pPr>
            <w:r>
              <w:t xml:space="preserve">1,950,000</w:t>
            </w:r>
          </w:p>
        </w:tc>
        <w:tc>
          <w:tcPr/>
          <w:p>
            <w:pPr>
              <w:pStyle w:val="Compact"/>
              <w:jc w:val="left"/>
            </w:pPr>
            <w:r>
              <w:t xml:space="preserve">26%</w:t>
            </w:r>
          </w:p>
        </w:tc>
        <w:tc>
          <w:tcPr/>
          <w:p>
            <w:pPr>
              <w:pStyle w:val="Compact"/>
              <w:jc w:val="left"/>
            </w:pPr>
            <w:r>
              <w:t xml:space="preserve">+128%</w:t>
            </w:r>
          </w:p>
        </w:tc>
      </w:tr>
      <w:tr>
        <w:tc>
          <w:tcPr/>
          <w:p>
            <w:pPr>
              <w:pStyle w:val="Compact"/>
              <w:jc w:val="left"/>
            </w:pPr>
            <w:r>
              <w:t xml:space="preserve">Government Entities (Dubai Smart City)</w:t>
            </w:r>
          </w:p>
        </w:tc>
        <w:tc>
          <w:tcPr/>
          <w:p>
            <w:pPr>
              <w:pStyle w:val="Compact"/>
              <w:jc w:val="left"/>
            </w:pPr>
            <w:r>
              <w:t xml:space="preserve">1,345,000</w:t>
            </w:r>
          </w:p>
        </w:tc>
        <w:tc>
          <w:tcPr/>
          <w:p>
            <w:pPr>
              <w:pStyle w:val="Compact"/>
              <w:jc w:val="left"/>
            </w:pPr>
            <w:r>
              <w:t xml:space="preserve">18%</w:t>
            </w:r>
          </w:p>
        </w:tc>
        <w:tc>
          <w:tcPr/>
          <w:p>
            <w:pPr>
              <w:pStyle w:val="Compact"/>
              <w:jc w:val="left"/>
            </w:pPr>
            <w:r>
              <w:t xml:space="preserve">+97%</w:t>
            </w:r>
          </w:p>
        </w:tc>
      </w:tr>
      <w:tr>
        <w:tc>
          <w:tcPr/>
          <w:p>
            <w:pPr>
              <w:pStyle w:val="Compact"/>
              <w:jc w:val="left"/>
            </w:pPr>
            <w:r>
              <w:t xml:space="preserve">Total</w:t>
            </w:r>
          </w:p>
        </w:tc>
        <w:tc>
          <w:tcPr/>
          <w:p>
            <w:pPr>
              <w:pStyle w:val="Compact"/>
              <w:jc w:val="left"/>
            </w:pPr>
            <w:r>
              <w:t xml:space="preserve">7,575,000</w:t>
            </w:r>
          </w:p>
        </w:tc>
        <w:tc>
          <w:tcPr/>
          <w:p>
            <w:pPr>
              <w:pStyle w:val="Compact"/>
              <w:jc w:val="left"/>
            </w:pPr>
            <w:r>
              <w:t xml:space="preserve">100%</w:t>
            </w:r>
          </w:p>
        </w:tc>
        <w:tc>
          <w:tcPr/>
          <w:p>
            <w:pPr>
              <w:pStyle w:val="Compact"/>
              <w:jc w:val="left"/>
            </w:pPr>
            <w:r>
              <w:t xml:space="preserve">+147%</w:t>
            </w:r>
          </w:p>
        </w:tc>
      </w:tr>
    </w:tbl>
    <w:p>
      <w:pPr>
        <w:pStyle w:val="BodyText"/>
      </w:pPr>
      <w:r>
        <w:t xml:space="preserve">Key milestones achieved during the reporting period:</w:t>
      </w:r>
    </w:p>
    <w:p>
      <w:pPr>
        <w:numPr>
          <w:ilvl w:val="0"/>
          <w:numId w:val="1002"/>
        </w:numPr>
        <w:pStyle w:val="Compact"/>
      </w:pPr>
      <w:r>
        <w:t xml:space="preserve">Closed 3 landmark enterprise contracts with Dubai-based financial institutions exceeding AED 2.1 million</w:t>
      </w:r>
    </w:p>
    <w:p>
      <w:pPr>
        <w:numPr>
          <w:ilvl w:val="0"/>
          <w:numId w:val="1002"/>
        </w:numPr>
        <w:pStyle w:val="Compact"/>
      </w:pPr>
      <w:r>
        <w:t xml:space="preserve">Secured first government procurement agreement with Dubai Future Foundation for AI education programs</w:t>
      </w:r>
    </w:p>
    <w:p>
      <w:pPr>
        <w:numPr>
          <w:ilvl w:val="0"/>
          <w:numId w:val="1002"/>
        </w:numPr>
        <w:pStyle w:val="Compact"/>
      </w:pPr>
      <w:r>
        <w:t xml:space="preserve">Generated 45 qualified leads from UAE EXPO 2023 participants in Dubai's Expo City zone</w:t>
      </w:r>
    </w:p>
    <w:bookmarkEnd w:id="22"/>
    <w:bookmarkStart w:id="23" w:name="X08539616328be7cde6718cf621baecfaf2af6c5"/>
    <w:p>
      <w:pPr>
        <w:pStyle w:val="Heading2"/>
      </w:pPr>
      <w:r>
        <w:t xml:space="preserve">IV. Strategic Analysis: Why Mathematician Succeeded in United Arab Emirates Dubai</w:t>
      </w:r>
    </w:p>
    <w:p>
      <w:pPr>
        <w:pStyle w:val="FirstParagraph"/>
      </w:pPr>
      <w:r>
        <w:t xml:space="preserve">The unprecedented success of our "Mathematician" solution in the United Arab Emirates Dubai market stems from three core strategic alignments:</w:t>
      </w:r>
    </w:p>
    <w:p>
      <w:pPr>
        <w:numPr>
          <w:ilvl w:val="0"/>
          <w:numId w:val="1003"/>
        </w:numPr>
        <w:pStyle w:val="Compact"/>
      </w:pPr>
      <w:r>
        <w:rPr>
          <w:bCs/>
          <w:b/>
        </w:rPr>
        <w:t xml:space="preserve">Local Market Intelligence:</w:t>
      </w:r>
      <w:r>
        <w:t xml:space="preserve"> </w:t>
      </w:r>
      <w:r>
        <w:t xml:space="preserve">Our team conducted extensive UAE-specific market research, discovering that 89% of Dubai businesses require advanced mathematical modeling for compliance with UAE's new financial regulations. The "Mathematician" platform was engineered specifically to solve these regulatory challenges.</w:t>
      </w:r>
    </w:p>
    <w:p>
      <w:pPr>
        <w:numPr>
          <w:ilvl w:val="0"/>
          <w:numId w:val="1003"/>
        </w:numPr>
        <w:pStyle w:val="Compact"/>
      </w:pPr>
      <w:r>
        <w:rPr>
          <w:bCs/>
          <w:b/>
        </w:rPr>
        <w:t xml:space="preserve">Cultural Adaptation:</w:t>
      </w:r>
      <w:r>
        <w:t xml:space="preserve"> </w:t>
      </w:r>
      <w:r>
        <w:t xml:space="preserve">Unlike generic global solutions, we developed a fully localized Arabic-English bilingual interface and incorporated Gulf-specific mathematical conventions used in regional finance and engineering projects. This cultural adaptation was directly requested by 74% of Dubai clients during sales consultations.</w:t>
      </w:r>
    </w:p>
    <w:p>
      <w:pPr>
        <w:numPr>
          <w:ilvl w:val="0"/>
          <w:numId w:val="1003"/>
        </w:numPr>
        <w:pStyle w:val="Compact"/>
      </w:pPr>
      <w:r>
        <w:rPr>
          <w:bCs/>
          <w:b/>
        </w:rPr>
        <w:t xml:space="preserve">Ecosystem Integration:</w:t>
      </w:r>
      <w:r>
        <w:t xml:space="preserve"> </w:t>
      </w:r>
      <w:r>
        <w:t xml:space="preserve">The platform seamlessly integrates with Dubai's existing digital infrastructure including Smart Dubai's API ecosystem, Government Cloud Services, and the recently launched UAE AI Exchange. This interoperability was a decisive factor in 92% of enterprise purchases within United Arab Emirates Dubai.</w:t>
      </w:r>
    </w:p>
    <w:bookmarkEnd w:id="23"/>
    <w:bookmarkStart w:id="24" w:name="X8268390983ea03b3ed7e6f667edf52f4cf5fe2f"/>
    <w:p>
      <w:pPr>
        <w:pStyle w:val="Heading2"/>
      </w:pPr>
      <w:r>
        <w:t xml:space="preserve">V. Customer Impact: Transforming Business Operations</w:t>
      </w:r>
    </w:p>
    <w:p>
      <w:pPr>
        <w:pStyle w:val="FirstParagraph"/>
      </w:pPr>
      <w:r>
        <w:t xml:space="preserve">Client testimonials from the United Arab Emirates Dubai market highlight transformative results:</w:t>
      </w:r>
    </w:p>
    <w:p>
      <w:pPr>
        <w:pStyle w:val="BlockText"/>
      </w:pPr>
      <w:r>
        <w:t xml:space="preserve">"Since implementing Mathematician, our financial risk modeling accuracy improved by 37%, directly supporting our compliance with UAE Central Bank's AI governance framework. This wasn't just a software purchase – it was strategic alignment with Dubai's digital future." - Senior Risk Manager, Emirates NBD (Dubai)</w:t>
      </w:r>
    </w:p>
    <w:p>
      <w:pPr>
        <w:pStyle w:val="BlockText"/>
      </w:pPr>
      <w:r>
        <w:t xml:space="preserve">"Mathematician's Arabic mathematical notation interface enabled our Dubai-based education team to train 15,000 students in advanced calculus without translation barriers. The platform became essential for our STEM programs at Dubai University of Science and Technology." - Director of Education, Knowledge Village Group</w:t>
      </w:r>
    </w:p>
    <w:bookmarkEnd w:id="24"/>
    <w:bookmarkStart w:id="25" w:name="vi.-challenges-and-strategic-adjustments"/>
    <w:p>
      <w:pPr>
        <w:pStyle w:val="Heading2"/>
      </w:pPr>
      <w:r>
        <w:t xml:space="preserve">VI. Challenges and Strategic Adjustments</w:t>
      </w:r>
    </w:p>
    <w:p>
      <w:pPr>
        <w:pStyle w:val="FirstParagraph"/>
      </w:pPr>
      <w:r>
        <w:t xml:space="preserve">While growth was exceptional, we identified key challenges specific to United Arab Emirates Dubai operations:</w:t>
      </w:r>
    </w:p>
    <w:p>
      <w:pPr>
        <w:numPr>
          <w:ilvl w:val="0"/>
          <w:numId w:val="1004"/>
        </w:numPr>
        <w:pStyle w:val="Compact"/>
      </w:pPr>
      <w:r>
        <w:rPr>
          <w:bCs/>
          <w:b/>
        </w:rPr>
        <w:t xml:space="preserve">Cultural Nuance in Sales Process:</w:t>
      </w:r>
      <w:r>
        <w:t xml:space="preserve"> </w:t>
      </w:r>
      <w:r>
        <w:t xml:space="preserve">Initial sales cycles were longer than anticipated due to UAE's relationship-driven business culture. Solution: Implemented dedicated Emirati-speaking account managers and incorporated traditional "coffee meeting" protocols into our sales workflow.</w:t>
      </w:r>
    </w:p>
    <w:p>
      <w:pPr>
        <w:numPr>
          <w:ilvl w:val="0"/>
          <w:numId w:val="1004"/>
        </w:numPr>
        <w:pStyle w:val="Compact"/>
      </w:pPr>
      <w:r>
        <w:rPr>
          <w:bCs/>
          <w:b/>
        </w:rPr>
        <w:t xml:space="preserve">Regulatory Documentation:</w:t>
      </w:r>
      <w:r>
        <w:t xml:space="preserve"> </w:t>
      </w:r>
      <w:r>
        <w:t xml:space="preserve">Complex requirements for UAE government procurement. Solution: Partnered with local legal firm Al Tamimi &amp; Company to streamline compliance documentation, reducing approval timelines by 41%.</w:t>
      </w:r>
    </w:p>
    <w:bookmarkEnd w:id="25"/>
    <w:bookmarkStart w:id="26" w:name="X264c44b493e370594ac081f81a3925518445ae4"/>
    <w:p>
      <w:pPr>
        <w:pStyle w:val="Heading2"/>
      </w:pPr>
      <w:r>
        <w:t xml:space="preserve">VII. Future Outlook: United Arab Emirates Dubai Market Expansion</w:t>
      </w:r>
    </w:p>
    <w:p>
      <w:pPr>
        <w:pStyle w:val="FirstParagraph"/>
      </w:pPr>
      <w:r>
        <w:t xml:space="preserve">Based on Q3 performance, our Sales Report projects continued dominance in Dubai with the following strategic priorities:</w:t>
      </w:r>
    </w:p>
    <w:p>
      <w:pPr>
        <w:numPr>
          <w:ilvl w:val="0"/>
          <w:numId w:val="1005"/>
        </w:numPr>
        <w:pStyle w:val="Compact"/>
      </w:pPr>
      <w:r>
        <w:rPr>
          <w:bCs/>
          <w:b/>
        </w:rPr>
        <w:t xml:space="preserve">Government Sector Expansion:</w:t>
      </w:r>
      <w:r>
        <w:t xml:space="preserve"> </w:t>
      </w:r>
      <w:r>
        <w:t xml:space="preserve">Targeting 5 new Dubai government entities through the upcoming UAE AI Strategy 2031 implementation phase</w:t>
      </w:r>
    </w:p>
    <w:p>
      <w:pPr>
        <w:numPr>
          <w:ilvl w:val="0"/>
          <w:numId w:val="1005"/>
        </w:numPr>
        <w:pStyle w:val="Compact"/>
      </w:pPr>
      <w:r>
        <w:rPr>
          <w:bCs/>
          <w:b/>
        </w:rPr>
        <w:t xml:space="preserve">Educational Partnerships:</w:t>
      </w:r>
      <w:r>
        <w:t xml:space="preserve"> </w:t>
      </w:r>
      <w:r>
        <w:t xml:space="preserve">Partnering with Dubai Knowledge Village to integrate Mathematician into K-12 STEM curricula by Q2 2024</w:t>
      </w:r>
    </w:p>
    <w:p>
      <w:pPr>
        <w:numPr>
          <w:ilvl w:val="0"/>
          <w:numId w:val="1005"/>
        </w:numPr>
        <w:pStyle w:val="Compact"/>
      </w:pPr>
      <w:r>
        <w:rPr>
          <w:bCs/>
          <w:b/>
        </w:rPr>
        <w:t xml:space="preserve">Industry Specialization:</w:t>
      </w:r>
      <w:r>
        <w:t xml:space="preserve"> </w:t>
      </w:r>
      <w:r>
        <w:t xml:space="preserve">Developing oil &amp; gas-specific mathematical modules for Abu Dhabi and Dubai energy sector clients</w:t>
      </w:r>
    </w:p>
    <w:p>
      <w:pPr>
        <w:pStyle w:val="FirstParagraph"/>
      </w:pPr>
      <w:r>
        <w:t xml:space="preserve">The United Arab Emirates Dubai market represents the most promising geographic opportunity for our "Mathematician" suite. With Dubai's AI investment projected to grow at 28% annually through 2025, we anticipate this market will contribute 43% of global revenue by Q4 2024.</w:t>
      </w:r>
    </w:p>
    <w:bookmarkEnd w:id="26"/>
    <w:bookmarkStart w:id="27" w:name="X9140a975f39960a70a8954853d44fa9e4bea64e"/>
    <w:p>
      <w:pPr>
        <w:pStyle w:val="Heading2"/>
      </w:pPr>
      <w:r>
        <w:t xml:space="preserve">VIII. Conclusion: The Mathematician Advantage in Dubai</w:t>
      </w:r>
    </w:p>
    <w:p>
      <w:pPr>
        <w:pStyle w:val="FirstParagraph"/>
      </w:pPr>
      <w:r>
        <w:t xml:space="preserve">This Sales Report conclusively demonstrates that "Mathematician" has achieved exceptional market penetration in the United Arab Emirates Dubai ecosystem through precise alignment with local business needs, regulatory requirements, and cultural context. Our solution isn't merely a product – it's an enabler of Dubai's economic transformation. The 147% YoY growth in Q3 2023 validates our strategic approach to the UAE market and positions us for exponential growth within Dubai's $50 billion digital economy.</w:t>
      </w:r>
    </w:p>
    <w:p>
      <w:pPr>
        <w:pStyle w:val="BodyText"/>
      </w:pPr>
      <w:r>
        <w:t xml:space="preserve">As we continue to serve as the mathematical intelligence partner for Dubai's future, "Mathematician" remains at the forefront of technology adoption in United Arab Emirates Dubai. We recommend allocating 25% of our global R&amp;D budget to UAE-specific enhancements in 2024 to maintain this competitive advantage.</w:t>
      </w:r>
    </w:p>
    <w:p>
      <w:pPr>
        <w:pStyle w:val="BodyText"/>
      </w:pPr>
      <w:r>
        <w:rPr>
          <w:bCs/>
          <w:b/>
        </w:rPr>
        <w:t xml:space="preserve">Prepared by:</w:t>
      </w:r>
      <w:r>
        <w:t xml:space="preserve"> </w:t>
      </w:r>
      <w:r>
        <w:t xml:space="preserve">Global Sales Intelligence Division</w:t>
      </w:r>
      <w:r>
        <w:br/>
      </w:r>
      <w:r>
        <w:rPr>
          <w:bCs/>
          <w:b/>
        </w:rPr>
        <w:t xml:space="preserve">Approved by:</w:t>
      </w:r>
      <w:r>
        <w:t xml:space="preserve"> </w:t>
      </w:r>
      <w:r>
        <w:t xml:space="preserve">Regional Director, Middle East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Product Suite - United Arab Emirates Dubai</dc:title>
  <dc:creator/>
  <dc:language>en</dc:language>
  <cp:keywords/>
  <dcterms:created xsi:type="dcterms:W3CDTF">2026-07-23T19:20:40Z</dcterms:created>
  <dcterms:modified xsi:type="dcterms:W3CDTF">2026-07-23T19:20:40Z</dcterms:modified>
</cp:coreProperties>
</file>

<file path=docProps/custom.xml><?xml version="1.0" encoding="utf-8"?>
<Properties xmlns="http://schemas.openxmlformats.org/officeDocument/2006/custom-properties" xmlns:vt="http://schemas.openxmlformats.org/officeDocument/2006/docPropsVTypes"/>
</file>