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30" w:name="X2a776fa5676132711a5764ab463439ae3206553"/>
    <w:p>
      <w:pPr>
        <w:pStyle w:val="Heading1"/>
      </w:pPr>
      <w:r>
        <w:t xml:space="preserve">Sales Report: Mathematician Analytics Platform Performance in United States Houston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"Mathematician," across the Houston, Texas market during Q3 2023. As a cutting-edge AI-powered mathematical analytics platform designed specifically for academic and industry professionals, "Mathematician" has demonstrated exceptional growth in one of America's fastest-evolving tech hubs. The Houston market—spanning energy sector giants, aerospace innovators, and premier research institutions—has emerged as our most promising regional territory. With a 142% year-over-year sales increase and 37 new enterprise contracts secured, this report validates Houston as the strategic cornerstone of our national expansion in the United States.</w:t>
      </w:r>
    </w:p>
    <w:bookmarkEnd w:id="20"/>
    <w:bookmarkStart w:id="21" w:name="market-context-why-houston"/>
    <w:p>
      <w:pPr>
        <w:pStyle w:val="Heading2"/>
      </w:pPr>
      <w:r>
        <w:t xml:space="preserve">Market Context: Why Houston?</w:t>
      </w:r>
    </w:p>
    <w:p>
      <w:pPr>
        <w:pStyle w:val="FirstParagraph"/>
      </w:pPr>
      <w:r>
        <w:t xml:space="preserve">Houston's unique ecosystem presents unparalleled opportunities for mathematical solutions. As home to:</w:t>
      </w:r>
    </w:p>
    <w:p>
      <w:pPr>
        <w:numPr>
          <w:ilvl w:val="0"/>
          <w:numId w:val="1001"/>
        </w:numPr>
        <w:pStyle w:val="Compact"/>
      </w:pPr>
      <w:r>
        <w:t xml:space="preserve">The largest concentration of energy sector R&amp;D facilities in the U.S., including Shell, ExxonMobil, and Chevron</w:t>
      </w:r>
    </w:p>
    <w:p>
      <w:pPr>
        <w:numPr>
          <w:ilvl w:val="0"/>
          <w:numId w:val="1001"/>
        </w:numPr>
        <w:pStyle w:val="Compact"/>
      </w:pPr>
      <w:r>
        <w:t xml:space="preserve">NASA's Johnson Space Center driving aerospace mathematical innovation</w:t>
      </w:r>
    </w:p>
    <w:p>
      <w:pPr>
        <w:numPr>
          <w:ilvl w:val="0"/>
          <w:numId w:val="1001"/>
        </w:numPr>
        <w:pStyle w:val="Compact"/>
      </w:pPr>
      <w:r>
        <w:t xml:space="preserve">Four top-50 universities (University of Houston, Rice University, Texas Southern University, and Baylor College of Medicine) producing 12% of the nation's STEM graduates</w:t>
      </w:r>
    </w:p>
    <w:p>
      <w:pPr>
        <w:numPr>
          <w:ilvl w:val="0"/>
          <w:numId w:val="1001"/>
        </w:numPr>
        <w:pStyle w:val="Compact"/>
      </w:pPr>
      <w:r>
        <w:t xml:space="preserve">A burgeoning fintech corridor with 43 new startups in 2023 alone</w:t>
      </w:r>
    </w:p>
    <w:p>
      <w:pPr>
        <w:pStyle w:val="FirstParagraph"/>
      </w:pPr>
      <w:r>
        <w:t xml:space="preserve">The demand for advanced mathematical modeling tools has surged by 68% in Houston over the past year. "Mathematician" directly addresses this need through its specialized modules for fluid dynamics simulations, portfolio optimization, and space trajectory calculations—making it the only platform purpose-built for Houston's industry-specific challenges.</w:t>
      </w:r>
    </w:p>
    <w:bookmarkEnd w:id="21"/>
    <w:bookmarkStart w:id="23"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Revenue (Houston)</w:t>
            </w:r>
          </w:p>
        </w:tc>
        <w:tc>
          <w:tcPr/>
          <w:p>
            <w:pPr>
              <w:pStyle w:val="Compact"/>
              <w:jc w:val="left"/>
            </w:pPr>
            <w:r>
              <w:t xml:space="preserve">$1.87M</w:t>
            </w:r>
          </w:p>
        </w:tc>
        <w:tc>
          <w:tcPr/>
          <w:p>
            <w:pPr>
              <w:pStyle w:val="Compact"/>
              <w:jc w:val="left"/>
            </w:pPr>
            <w:r>
              <w:t xml:space="preserve">$770K</w:t>
            </w:r>
          </w:p>
        </w:tc>
        <w:tc>
          <w:tcPr/>
          <w:p>
            <w:pPr>
              <w:pStyle w:val="Compact"/>
              <w:jc w:val="left"/>
            </w:pPr>
            <w:r>
              <w:t xml:space="preserve">+142%</w:t>
            </w:r>
          </w:p>
        </w:tc>
      </w:tr>
      <w:tr>
        <w:tc>
          <w:tcPr/>
          <w:p>
            <w:pPr>
              <w:pStyle w:val="Compact"/>
              <w:jc w:val="left"/>
            </w:pPr>
            <w:r>
              <w:t xml:space="preserve">New Enterprise Contracts</w:t>
            </w:r>
          </w:p>
        </w:tc>
        <w:tc>
          <w:tcPr>
            <w:gridSpan w:val="3"/>
          </w:tcPr>
          <w:p>
            <w:pPr>
              <w:pStyle w:val="Compact"/>
              <w:jc w:val="left"/>
            </w:pPr>
            <w:r>
              <w:t xml:space="preserve">37 (including 9 Fortune 500 clients)</w:t>
            </w:r>
          </w:p>
        </w:tc>
      </w:tr>
      <w:tr>
        <w:tc>
          <w:tcPr/>
          <w:p>
            <w:pPr>
              <w:pStyle w:val="Compact"/>
              <w:jc w:val="left"/>
            </w:pPr>
            <w:r>
              <w:t xml:space="preserve">Academic Licenses Sold</w:t>
            </w:r>
          </w:p>
        </w:tc>
        <w:tc>
          <w:tcPr/>
          <w:p>
            <w:pPr>
              <w:pStyle w:val="Compact"/>
              <w:jc w:val="left"/>
            </w:pPr>
            <w:r>
              <w:t xml:space="preserve">228</w:t>
            </w:r>
          </w:p>
        </w:tc>
        <w:tc>
          <w:tcPr/>
          <w:p>
            <w:pPr>
              <w:pStyle w:val="Compact"/>
              <w:jc w:val="left"/>
            </w:pPr>
            <w:r>
              <w:t xml:space="preserve">64</w:t>
            </w:r>
          </w:p>
        </w:tc>
        <w:tc>
          <w:tcPr/>
          <w:p>
            <w:pPr>
              <w:pStyle w:val="Compact"/>
              <w:jc w:val="left"/>
            </w:pPr>
            <w:r>
              <w:t xml:space="preserve">+256%</w:t>
            </w:r>
          </w:p>
        </w:tc>
      </w:tr>
      <w:tr>
        <w:tc>
          <w:tcPr/>
          <w:p>
            <w:pPr>
              <w:pStyle w:val="Compact"/>
              <w:jc w:val="left"/>
            </w:pPr>
            <w:r>
              <w:t xml:space="preserve">Avg. Deal Size</w:t>
            </w:r>
          </w:p>
        </w:tc>
        <w:tc>
          <w:tcPr/>
          <w:p>
            <w:pPr>
              <w:pStyle w:val="Compact"/>
              <w:jc w:val="left"/>
            </w:pPr>
            <w:r>
              <w:t xml:space="preserve">$48,700</w:t>
            </w:r>
          </w:p>
        </w:tc>
        <w:tc>
          <w:tcPr>
            <w:gridSpan w:val="2"/>
          </w:tcPr>
          <w:p>
            <w:pPr>
              <w:pStyle w:val="Compact"/>
              <w:jc w:val="left"/>
            </w:pPr>
            <w:r>
              <w:t xml:space="preserve">+31% YoY (industry avg: +15%)</w:t>
            </w:r>
          </w:p>
        </w:tc>
      </w:tr>
    </w:tbl>
    <w:bookmarkStart w:id="22" w:name="key-growth-drivers-in-houston"/>
    <w:p>
      <w:pPr>
        <w:pStyle w:val="Heading3"/>
      </w:pPr>
      <w:r>
        <w:t xml:space="preserve">Key Growth Drivers in Houston</w:t>
      </w:r>
    </w:p>
    <w:p>
      <w:pPr>
        <w:pStyle w:val="FirstParagraph"/>
      </w:pPr>
      <w:r>
        <w:rPr>
          <w:bCs/>
          <w:b/>
        </w:rPr>
        <w:t xml:space="preserve">Energy Sector Dominance:</w:t>
      </w:r>
      <w:r>
        <w:t xml:space="preserve"> </w:t>
      </w:r>
      <w:r>
        <w:t xml:space="preserve">62% of Houston revenue came from energy clients. The "Mathematician" platform's reservoir simulation module reduced predictive modeling time by 74% for Shell's new LNG project, leading to a $1.2M contract—our largest single sale in company history.</w:t>
      </w:r>
    </w:p>
    <w:p>
      <w:pPr>
        <w:pStyle w:val="BodyText"/>
      </w:pPr>
      <w:r>
        <w:rPr>
          <w:bCs/>
          <w:b/>
        </w:rPr>
        <w:t xml:space="preserve">University Partnerships:</w:t>
      </w:r>
      <w:r>
        <w:t xml:space="preserve"> </w:t>
      </w:r>
      <w:r>
        <w:t xml:space="preserve">Strategic agreements with UH and Rice University expanded access to 8,500+ students. The "Mathematician" student edition (priced at $9.99/semester) generated $215K in recurring revenue—3x our projections. Notable: Rice's Aerospace Engineering department now mandates platform usage for all computational courses.</w:t>
      </w:r>
    </w:p>
    <w:p>
      <w:pPr>
        <w:pStyle w:val="BodyText"/>
      </w:pPr>
      <w:r>
        <w:rPr>
          <w:bCs/>
          <w:b/>
        </w:rPr>
        <w:t xml:space="preserve">Space Sector Synergy:</w:t>
      </w:r>
      <w:r>
        <w:t xml:space="preserve"> </w:t>
      </w:r>
      <w:r>
        <w:t xml:space="preserve">NASA Johnson Space Center's adoption of our trajectory optimization module secured a 5-year contract valued at $760K. This partnership created critical credibility, leading to follow-on sales with SpaceX and Blue Origin engineers operating in the Houston corridor.</w:t>
      </w:r>
    </w:p>
    <w:bookmarkEnd w:id="22"/>
    <w:bookmarkEnd w:id="23"/>
    <w:bookmarkStart w:id="26" w:name="customer-success-stories"/>
    <w:p>
      <w:pPr>
        <w:pStyle w:val="Heading2"/>
      </w:pPr>
      <w:r>
        <w:t xml:space="preserve">Customer Success Stories</w:t>
      </w:r>
    </w:p>
    <w:bookmarkStart w:id="24" w:name="X6297f47fe6edb88da40cc81c4203c1a8849a54c"/>
    <w:p>
      <w:pPr>
        <w:pStyle w:val="Heading3"/>
      </w:pPr>
      <w:r>
        <w:t xml:space="preserve">Case Study: Energy Optimization at Chevron</w:t>
      </w:r>
    </w:p>
    <w:p>
      <w:pPr>
        <w:pStyle w:val="FirstParagraph"/>
      </w:pPr>
      <w:r>
        <w:t xml:space="preserve">Chevron's Houston innovation team deployed "Mathematician" for real-time pipeline integrity analysis. The platform identified 17 critical failure points before scheduled maintenance, preventing an estimated $42M in potential downtime costs. "Mathematician reduced our engineering cycle time by 68%," reported Dr. Elena Rodriguez, Chief Energy Scientist at Chevron. "It's become indispensable to our Houston operations."</w:t>
      </w:r>
    </w:p>
    <w:bookmarkEnd w:id="24"/>
    <w:bookmarkStart w:id="25" w:name="X78b9854e785de36b1ce80c2d84cbf1a890c421c"/>
    <w:p>
      <w:pPr>
        <w:pStyle w:val="Heading3"/>
      </w:pPr>
      <w:r>
        <w:t xml:space="preserve">Case Study: Rice University Curriculum Transformation</w:t>
      </w:r>
    </w:p>
    <w:p>
      <w:pPr>
        <w:pStyle w:val="FirstParagraph"/>
      </w:pPr>
      <w:r>
        <w:t xml:space="preserve">Rice integrated "Mathematician" into its Applied Mathematics curriculum, replacing legacy software. In the first semester:</w:t>
      </w:r>
    </w:p>
    <w:p>
      <w:pPr>
        <w:numPr>
          <w:ilvl w:val="0"/>
          <w:numId w:val="1002"/>
        </w:numPr>
        <w:pStyle w:val="Compact"/>
      </w:pPr>
      <w:r>
        <w:t xml:space="preserve">Student project completion rates increased by 41%</w:t>
      </w:r>
    </w:p>
    <w:p>
      <w:pPr>
        <w:numPr>
          <w:ilvl w:val="0"/>
          <w:numId w:val="1002"/>
        </w:numPr>
        <w:pStyle w:val="Compact"/>
      </w:pPr>
      <w:r>
        <w:t xml:space="preserve">Faculty time spent on manual calculations decreased by 57%</w:t>
      </w:r>
    </w:p>
    <w:p>
      <w:pPr>
        <w:numPr>
          <w:ilvl w:val="0"/>
          <w:numId w:val="1002"/>
        </w:numPr>
        <w:pStyle w:val="Compact"/>
      </w:pPr>
      <w:r>
        <w:t xml:space="preserve">3 new research grants secured using platform data (totaling $850K)</w:t>
      </w:r>
    </w:p>
    <w:bookmarkEnd w:id="25"/>
    <w:bookmarkEnd w:id="26"/>
    <w:bookmarkStart w:id="27" w:name="market-challenges-strategic-responses"/>
    <w:p>
      <w:pPr>
        <w:pStyle w:val="Heading2"/>
      </w:pPr>
      <w:r>
        <w:t xml:space="preserve">Market Challenges &amp; Strategic Responses</w:t>
      </w:r>
    </w:p>
    <w:p>
      <w:pPr>
        <w:pStyle w:val="FirstParagraph"/>
      </w:pPr>
      <w:r>
        <w:t xml:space="preserve">Houston's market presented unique hurdles we proactively addressed:</w:t>
      </w:r>
    </w:p>
    <w:p>
      <w:pPr>
        <w:numPr>
          <w:ilvl w:val="0"/>
          <w:numId w:val="1003"/>
        </w:numPr>
        <w:pStyle w:val="Compact"/>
      </w:pPr>
      <w:r>
        <w:rPr>
          <w:bCs/>
          <w:b/>
        </w:rPr>
        <w:t xml:space="preserve">Enterprise Sales Cycles:</w:t>
      </w:r>
      <w:r>
        <w:t xml:space="preserve"> </w:t>
      </w:r>
      <w:r>
        <w:t xml:space="preserve">Energy clients required 6–8 months for procurement. *Solution:* Established dedicated Houston sales team with industry-specific certifications (47% of reps are former energy engineers). This reduced sales cycles by 33%.</w:t>
      </w:r>
    </w:p>
    <w:p>
      <w:pPr>
        <w:numPr>
          <w:ilvl w:val="0"/>
          <w:numId w:val="1003"/>
        </w:numPr>
        <w:pStyle w:val="Compact"/>
      </w:pPr>
      <w:r>
        <w:rPr>
          <w:bCs/>
          <w:b/>
        </w:rPr>
        <w:t xml:space="preserve">Competitive Landscape:</w:t>
      </w:r>
      <w:r>
        <w:t xml:space="preserve"> </w:t>
      </w:r>
      <w:r>
        <w:t xml:space="preserve">Legacy tools like MATLAB dominated academic spaces. *Solution:* Launched "Mathematician Academic Ambassador" program—training student leaders to drive adoption through campus workshops (now reaching 28,000 students annually).</w:t>
      </w:r>
    </w:p>
    <w:p>
      <w:pPr>
        <w:numPr>
          <w:ilvl w:val="0"/>
          <w:numId w:val="1003"/>
        </w:numPr>
        <w:pStyle w:val="Compact"/>
      </w:pPr>
      <w:r>
        <w:rPr>
          <w:bCs/>
          <w:b/>
        </w:rPr>
        <w:t xml:space="preserve">Talent Acquisition:</w:t>
      </w:r>
      <w:r>
        <w:t xml:space="preserve"> </w:t>
      </w:r>
      <w:r>
        <w:t xml:space="preserve">Houston's competitive tech talent market initially hindered our engineering team growth. *Solution:* Partnered with UH's data science program for co-op placements, reducing hiring time by 52% and building deep local ties.</w:t>
      </w:r>
    </w:p>
    <w:bookmarkEnd w:id="27"/>
    <w:bookmarkStart w:id="28" w:name="X586d47a8f66b0b8e73930f42b56e39459e09749"/>
    <w:p>
      <w:pPr>
        <w:pStyle w:val="Heading2"/>
      </w:pPr>
      <w:r>
        <w:t xml:space="preserve">Future Outlook: Houston as Our National Command Center</w:t>
      </w:r>
    </w:p>
    <w:p>
      <w:pPr>
        <w:pStyle w:val="FirstParagraph"/>
      </w:pPr>
      <w:r>
        <w:t xml:space="preserve">With Houston now generating 43% of our total U.S. revenue (up from 18% in Q3 2022), we're positioning the city as our national operations hub. Strategic initiatives for H1 2024 include:</w:t>
      </w:r>
    </w:p>
    <w:p>
      <w:pPr>
        <w:numPr>
          <w:ilvl w:val="0"/>
          <w:numId w:val="1004"/>
        </w:numPr>
        <w:pStyle w:val="Compact"/>
      </w:pPr>
      <w:r>
        <w:rPr>
          <w:bCs/>
          <w:b/>
        </w:rPr>
        <w:t xml:space="preserve">Houston Innovation Lab:</w:t>
      </w:r>
      <w:r>
        <w:t xml:space="preserve"> </w:t>
      </w:r>
      <w:r>
        <w:t xml:space="preserve">A $5M facility opening Q1 2024 at The Ion (Houston's tech hub) to co-develop solutions with energy/aerospace partners.</w:t>
      </w:r>
    </w:p>
    <w:p>
      <w:pPr>
        <w:numPr>
          <w:ilvl w:val="0"/>
          <w:numId w:val="1004"/>
        </w:numPr>
        <w:pStyle w:val="Compact"/>
      </w:pPr>
      <w:r>
        <w:rPr>
          <w:bCs/>
          <w:b/>
        </w:rPr>
        <w:t xml:space="preserve">Sector-Specific Modules:</w:t>
      </w:r>
      <w:r>
        <w:t xml:space="preserve"> </w:t>
      </w:r>
      <w:r>
        <w:t xml:space="preserve">Launching "Mathematician Energy" and "Mathematician Aerospace" suites based on Houston client feedback.</w:t>
      </w:r>
    </w:p>
    <w:p>
      <w:pPr>
        <w:numPr>
          <w:ilvl w:val="0"/>
          <w:numId w:val="1004"/>
        </w:numPr>
        <w:pStyle w:val="Compact"/>
      </w:pPr>
      <w:r>
        <w:rPr>
          <w:bCs/>
          <w:b/>
        </w:rPr>
        <w:t xml:space="preserve">Talent Pipeline Expansion:</w:t>
      </w:r>
      <w:r>
        <w:t xml:space="preserve"> </w:t>
      </w:r>
      <w:r>
        <w:t xml:space="preserve">Partnering with Houston ISD to create high school math analytics tracks, securing our future customer base.</w:t>
      </w:r>
    </w:p>
    <w:bookmarkEnd w:id="28"/>
    <w:bookmarkStart w:id="29" w:name="conclusion"/>
    <w:p>
      <w:pPr>
        <w:pStyle w:val="Heading2"/>
      </w:pPr>
      <w:r>
        <w:t xml:space="preserve">Conclusion</w:t>
      </w:r>
    </w:p>
    <w:p>
      <w:pPr>
        <w:pStyle w:val="FirstParagraph"/>
      </w:pPr>
      <w:r>
        <w:t xml:space="preserve">The "Mathematician" platform has transcended its role as a software tool to become an economic catalyst in United States Houston. By aligning our product development with Houston's energy, space, and academic ecosystems, we've achieved market leadership where it matters most—driving 142% revenue growth while solving problems that impact the region's $320B industrial base. As Houston continues its transformation into America's mathematical innovation capital (per U.S. Commerce Department 2023 reports), "Mathematician" is not just selling software; we're embedding ourselves into the city's operational DNA. Our Q4 2023 target of $15M in Houston revenue reflects this strategic certainty—and confirms that for Mathematicians seeking growth, Houston isn't just a market. It's the mission.</w:t>
      </w:r>
    </w:p>
    <w:p>
      <w:pPr>
        <w:pStyle w:val="BodyText"/>
      </w:pPr>
      <w:r>
        <w:rPr>
          <w:bCs/>
          <w:b/>
        </w:rPr>
        <w:t xml:space="preserve">Prepared By:</w:t>
      </w:r>
      <w:r>
        <w:t xml:space="preserve"> </w:t>
      </w:r>
      <w:r>
        <w:t xml:space="preserve">Alex Chen, Regional Sales Director, United States Operations</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Houston Market Analysis</dc:title>
  <dc:creator/>
  <dc:language>en</dc:language>
  <cp:keywords/>
  <dcterms:created xsi:type="dcterms:W3CDTF">2025-12-11T18:18:12Z</dcterms:created>
  <dcterms:modified xsi:type="dcterms:W3CDTF">2025-12-11T18:18:12Z</dcterms:modified>
</cp:coreProperties>
</file>

<file path=docProps/custom.xml><?xml version="1.0" encoding="utf-8"?>
<Properties xmlns="http://schemas.openxmlformats.org/officeDocument/2006/custom-properties" xmlns:vt="http://schemas.openxmlformats.org/officeDocument/2006/docPropsVTypes"/>
</file>