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Report</w:t>
      </w:r>
      <w:r>
        <w:t xml:space="preserve"> </w:t>
      </w:r>
      <w:r>
        <w:t xml:space="preserv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Market</w:t>
      </w:r>
    </w:p>
    <w:bookmarkStart w:id="28" w:name="Xeb339a6a80a53fd53cfe635669ee8ae9738274a"/>
    <w:p>
      <w:pPr>
        <w:pStyle w:val="Heading1"/>
      </w:pPr>
      <w:r>
        <w:t xml:space="preserve">Sales Report: Mathematician-Driven Market Performance in United States New York City</w:t>
      </w:r>
    </w:p>
    <w:p>
      <w:pPr>
        <w:pStyle w:val="FirstParagraph"/>
      </w:pPr>
      <w:r>
        <w:t xml:space="preserve">Quarterly Analysis | Q3 2023 | Prepared for Executive Leadership</w:t>
      </w:r>
    </w:p>
    <w:bookmarkStart w:id="20" w:name="executive-summary"/>
    <w:p>
      <w:pPr>
        <w:pStyle w:val="Heading2"/>
      </w:pPr>
      <w:r>
        <w:t xml:space="preserve">Executive Summary</w:t>
      </w:r>
    </w:p>
    <w:p>
      <w:pPr>
        <w:pStyle w:val="FirstParagraph"/>
      </w:pPr>
      <w:r>
        <w:t xml:space="preserve">This comprehensive Sales Report details the performance of mathematician-centric services within the United States New York City market. As a leading analytics firm operating in the heart of global commerce, our data demonstrates that mathematicians are not merely contributors but strategic assets driving 73% of our revenue growth in Q3 2023. The integration of advanced mathematical expertise directly correlates with market leadership in this competitive ecosystem, confirming the critical value proposition we deliver to clients across financial services, healthcare innovation, and smart city infrastructure projects throughout New York City.</w:t>
      </w:r>
    </w:p>
    <w:bookmarkEnd w:id="20"/>
    <w:bookmarkStart w:id="21" w:name="X5067f340de12682a8704268345b92cf84dd826f"/>
    <w:p>
      <w:pPr>
        <w:pStyle w:val="Heading2"/>
      </w:pPr>
      <w:r>
        <w:t xml:space="preserve">Market Context: United States New York City Dynamics</w:t>
      </w:r>
    </w:p>
    <w:p>
      <w:pPr>
        <w:pStyle w:val="FirstParagraph"/>
      </w:pPr>
      <w:r>
        <w:t xml:space="preserve">United States New York City represents the world's most complex business environment where mathematical precision meets real-world urgency. With over 1.1 million businesses operating across Manhattan, Brooklyn, and Queens, the city demands solutions that transform raw data into actionable intelligence. Our Sales Report confirms that companies in United States New York City are allocating 42% more budget toward mathematician-led analytics compared to the national average. This trend is fueled by NYC's unique challenges: fluctuating real estate markets requiring predictive modeling, healthcare systems needing epidemiological forecasting, and transportation networks demanding optimization algorithms.</w:t>
      </w:r>
    </w:p>
    <w:bookmarkEnd w:id="21"/>
    <w:bookmarkStart w:id="22" w:name="the-mathematician-as-sales-catalyst"/>
    <w:p>
      <w:pPr>
        <w:pStyle w:val="Heading2"/>
      </w:pPr>
      <w:r>
        <w:t xml:space="preserve">The Mathematician as Sales Catalyst</w:t>
      </w:r>
    </w:p>
    <w:p>
      <w:pPr>
        <w:pStyle w:val="FirstParagraph"/>
      </w:pPr>
      <w:r>
        <w:t xml:space="preserve">Contrary to traditional sales models where product knowledge drives conversion, our Q3 metrics reveal that the Mathematician is the true sales engine. When a qualified mathematician engages with prospects in United States New York City, deal closure rates increase by 57% compared to non-specialist sales representatives. This phenomenon manifests in three critical ways:</w:t>
      </w:r>
    </w:p>
    <w:p>
      <w:pPr>
        <w:numPr>
          <w:ilvl w:val="0"/>
          <w:numId w:val="1001"/>
        </w:numPr>
        <w:pStyle w:val="Compact"/>
      </w:pPr>
      <w:r>
        <w:rPr>
          <w:bCs/>
          <w:b/>
        </w:rPr>
        <w:t xml:space="preserve">Trust Acceleration:</w:t>
      </w:r>
      <w:r>
        <w:t xml:space="preserve"> </w:t>
      </w:r>
      <w:r>
        <w:t xml:space="preserve">A Mathematician's ability to instantly articulate complex solutions—such as explaining Monte Carlo simulations for portfolio risk assessment—reduces the sales cycle by an average of 28 days in New York City enterprises.</w:t>
      </w:r>
    </w:p>
    <w:p>
      <w:pPr>
        <w:numPr>
          <w:ilvl w:val="0"/>
          <w:numId w:val="1001"/>
        </w:numPr>
        <w:pStyle w:val="Compact"/>
      </w:pPr>
      <w:r>
        <w:rPr>
          <w:bCs/>
          <w:b/>
        </w:rPr>
        <w:t xml:space="preserve">Customization Precision:</w:t>
      </w:r>
      <w:r>
        <w:t xml:space="preserve"> </w:t>
      </w:r>
      <w:r>
        <w:t xml:space="preserve">Mathematically trained consultants develop tailored models during initial consultations, increasing client commitment by 64% versus standardized proposals.</w:t>
      </w:r>
    </w:p>
    <w:p>
      <w:pPr>
        <w:numPr>
          <w:ilvl w:val="0"/>
          <w:numId w:val="1001"/>
        </w:numPr>
        <w:pStyle w:val="Compact"/>
      </w:pPr>
      <w:r>
        <w:rPr>
          <w:bCs/>
          <w:b/>
        </w:rPr>
        <w:t xml:space="preserve">Innovation Positioning:</w:t>
      </w:r>
      <w:r>
        <w:t xml:space="preserve"> </w:t>
      </w:r>
      <w:r>
        <w:t xml:space="preserve">Clients perceive our Mathematician-led approach as inherently forward-thinking; 89% of new enterprise contracts in Q3 explicitly cited "mathematical expertise" as the deciding factor for vendor selection.</w:t>
      </w:r>
    </w:p>
    <w:bookmarkEnd w:id="22"/>
    <w:bookmarkStart w:id="23" w:name="X0055b7673e6edef875ac04ae408e732726d3246"/>
    <w:p>
      <w:pPr>
        <w:pStyle w:val="Heading2"/>
      </w:pPr>
      <w:r>
        <w:t xml:space="preserve">Sales Performance Data: United States New York City Market</w:t>
      </w:r>
    </w:p>
    <w:p>
      <w:pPr>
        <w:pStyle w:val="FirstParagraph"/>
      </w:pPr>
      <w:r>
        <w:t xml:space="preserve">This Sales Report presents quantifiable results from our New York City operations: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YoY Change</w:t>
            </w:r>
          </w:p>
        </w:tc>
      </w:tr>
      <w:tr>
        <w:tc>
          <w:tcPr/>
          <w:p>
            <w:pPr>
              <w:pStyle w:val="Compact"/>
              <w:jc w:val="left"/>
            </w:pPr>
            <w:r>
              <w:t xml:space="preserve">Total Revenue (NYC)</w:t>
            </w:r>
          </w:p>
        </w:tc>
        <w:tc>
          <w:tcPr/>
          <w:p>
            <w:pPr>
              <w:pStyle w:val="Compact"/>
              <w:jc w:val="left"/>
            </w:pPr>
            <w:r>
              <w:t xml:space="preserve">$14.7M</w:t>
            </w:r>
          </w:p>
        </w:tc>
        <w:tc>
          <w:tcPr/>
          <w:p>
            <w:pPr>
              <w:pStyle w:val="Compact"/>
              <w:jc w:val="left"/>
            </w:pPr>
            <w:r>
              <w:t xml:space="preserve">$12.2M</w:t>
            </w:r>
          </w:p>
        </w:tc>
        <w:tc>
          <w:tcPr/>
          <w:p>
            <w:pPr>
              <w:pStyle w:val="Compact"/>
              <w:jc w:val="left"/>
            </w:pPr>
            <w:r>
              <w:t xml:space="preserve">+20.5%</w:t>
            </w:r>
          </w:p>
        </w:tc>
      </w:tr>
      <w:tr>
        <w:tc>
          <w:tcPr/>
          <w:p>
            <w:pPr>
              <w:pStyle w:val="Compact"/>
              <w:jc w:val="left"/>
            </w:pPr>
            <w:r>
              <w:t xml:space="preserve">Mathematician-Generated Revenue</w:t>
            </w:r>
          </w:p>
        </w:tc>
        <w:tc>
          <w:tcPr/>
          <w:p>
            <w:pPr>
              <w:pStyle w:val="Compact"/>
              <w:jc w:val="left"/>
            </w:pPr>
            <w:r>
              <w:t xml:space="preserve">$10.7M (73% of total)</w:t>
            </w:r>
          </w:p>
        </w:tc>
        <w:tc>
          <w:tcPr/>
          <w:p>
            <w:pPr>
              <w:pStyle w:val="Compact"/>
              <w:jc w:val="left"/>
            </w:pPr>
            <w:r>
              <w:t xml:space="preserve">$8.1M (66%)</w:t>
            </w:r>
          </w:p>
        </w:tc>
        <w:tc>
          <w:tcPr/>
          <w:p>
            <w:pPr>
              <w:pStyle w:val="Compact"/>
              <w:jc w:val="left"/>
            </w:pPr>
            <w:r>
              <w:t xml:space="preserve">+32.1%</w:t>
            </w:r>
          </w:p>
        </w:tc>
      </w:tr>
      <w:tr>
        <w:tc>
          <w:tcPr/>
          <w:p>
            <w:pPr>
              <w:pStyle w:val="Compact"/>
              <w:jc w:val="left"/>
            </w:pPr>
            <w:r>
              <w:t xml:space="preserve">Average Deal Size</w:t>
            </w:r>
          </w:p>
        </w:tc>
        <w:tc>
          <w:tcPr/>
          <w:p>
            <w:pPr>
              <w:pStyle w:val="Compact"/>
              <w:jc w:val="left"/>
            </w:pPr>
            <w:r>
              <w:t xml:space="preserve">$245,000</w:t>
            </w:r>
          </w:p>
        </w:tc>
        <w:tc>
          <w:tcPr/>
          <w:p>
            <w:pPr>
              <w:pStyle w:val="Compact"/>
              <w:jc w:val="left"/>
            </w:pPr>
            <w:r>
              <w:t xml:space="preserve">$218,000</w:t>
            </w:r>
          </w:p>
        </w:tc>
        <w:tc>
          <w:tcPr/>
          <w:p>
            <w:pPr>
              <w:pStyle w:val="Compact"/>
              <w:jc w:val="left"/>
            </w:pPr>
            <w:r>
              <w:t xml:space="preserve">+12.4%</w:t>
            </w:r>
          </w:p>
        </w:tc>
      </w:tr>
      <w:tr>
        <w:tc>
          <w:tcPr/>
          <w:p>
            <w:pPr>
              <w:pStyle w:val="Compact"/>
              <w:jc w:val="left"/>
            </w:pPr>
            <w:r>
              <w:t xml:space="preserve">Client Retention Rate (NYC)</w:t>
            </w:r>
          </w:p>
        </w:tc>
        <w:tc>
          <w:tcPr/>
          <w:p>
            <w:pPr>
              <w:pStyle w:val="Compact"/>
              <w:jc w:val="left"/>
            </w:pPr>
            <w:r>
              <w:t xml:space="preserve">94%</w:t>
            </w:r>
          </w:p>
        </w:tc>
        <w:tc>
          <w:tcPr/>
          <w:p>
            <w:pPr>
              <w:pStyle w:val="Compact"/>
              <w:jc w:val="left"/>
            </w:pPr>
            <w:r>
              <w:t xml:space="preserve">91%</w:t>
            </w:r>
          </w:p>
        </w:tc>
        <w:tc>
          <w:tcPr/>
          <w:p>
            <w:pPr>
              <w:pStyle w:val="Compact"/>
              <w:jc w:val="left"/>
            </w:pPr>
            <w:r>
              <w:t xml:space="preserve">+3.0 pts</w:t>
            </w:r>
          </w:p>
        </w:tc>
      </w:tr>
    </w:tbl>
    <w:p>
      <w:pPr>
        <w:pStyle w:val="BodyText"/>
      </w:pPr>
      <w:r>
        <w:t xml:space="preserve">The data confirms that every Mathematician in our United States New York City office directly contributes to sustainable growth. Notably, revenue from new enterprise clients increased 27% in Q3—demonstrating the market's appetite for mathematical expertise.</w:t>
      </w:r>
    </w:p>
    <w:bookmarkEnd w:id="23"/>
    <w:bookmarkStart w:id="24" w:name="X6cb568a6e5422b277c61a090f2ae505c70c8a53"/>
    <w:p>
      <w:pPr>
        <w:pStyle w:val="Heading2"/>
      </w:pPr>
      <w:r>
        <w:t xml:space="preserve">Case Study: The Mathematician's Impact at Citigroup</w:t>
      </w:r>
    </w:p>
    <w:p>
      <w:pPr>
        <w:pStyle w:val="FirstParagraph"/>
      </w:pPr>
      <w:r>
        <w:t xml:space="preserve">When a leading investment bank requested real-time fraud detection algorithms, our New York City team deployed a Mathematician (PhD in Statistics, former quant at JPMorgan) within 72 hours. This rapid response—unmatched by competitors—resulted in a $3.2M contract signed during the first consultation. The Mathematician developed an anomaly detection model using fractional Brownian motion that reduced false positives by 41%, directly contributing to Citigroup's Q3 savings of $18M in fraud investigations. This transaction exemplifies how the Mathematician transforms sales opportunities into revenue-generating partnerships.</w:t>
      </w:r>
    </w:p>
    <w:bookmarkEnd w:id="24"/>
    <w:bookmarkStart w:id="25" w:name="challenges-and-strategic-imperatives"/>
    <w:p>
      <w:pPr>
        <w:pStyle w:val="Heading2"/>
      </w:pPr>
      <w:r>
        <w:t xml:space="preserve">Challenges and Strategic Imperatives</w:t>
      </w:r>
    </w:p>
    <w:p>
      <w:pPr>
        <w:pStyle w:val="FirstParagraph"/>
      </w:pPr>
      <w:r>
        <w:t xml:space="preserve">Despite strong performance, our Sales Report identifies two critical challenges specific to United States New York City operations:</w:t>
      </w:r>
    </w:p>
    <w:p>
      <w:pPr>
        <w:numPr>
          <w:ilvl w:val="0"/>
          <w:numId w:val="1002"/>
        </w:numPr>
        <w:pStyle w:val="Compact"/>
      </w:pPr>
      <w:r>
        <w:rPr>
          <w:bCs/>
          <w:b/>
        </w:rPr>
        <w:t xml:space="preserve">Talent Acquisition Pressure:</w:t>
      </w:r>
      <w:r>
        <w:t xml:space="preserve"> </w:t>
      </w:r>
      <w:r>
        <w:t xml:space="preserve">Competition for Mathematicians in New York City has intensified. Top candidates now demand 23% higher compensation than the national average, requiring strategic investment in our talent pipeline.</w:t>
      </w:r>
    </w:p>
    <w:p>
      <w:pPr>
        <w:numPr>
          <w:ilvl w:val="0"/>
          <w:numId w:val="1002"/>
        </w:numPr>
        <w:pStyle w:val="Compact"/>
      </w:pPr>
      <w:r>
        <w:rPr>
          <w:bCs/>
          <w:b/>
        </w:rPr>
        <w:t xml:space="preserve">Client Expectation Shift:</w:t>
      </w:r>
      <w:r>
        <w:t xml:space="preserve"> </w:t>
      </w:r>
      <w:r>
        <w:t xml:space="preserve">68% of NYC clients now expect mathematician-level customization within the initial sales conversation—a significant shift from previous years.</w:t>
      </w:r>
    </w:p>
    <w:p>
      <w:pPr>
        <w:pStyle w:val="FirstParagraph"/>
      </w:pPr>
      <w:r>
        <w:t xml:space="preserve">To address these, we recommend:</w:t>
      </w:r>
    </w:p>
    <w:p>
      <w:pPr>
        <w:numPr>
          <w:ilvl w:val="0"/>
          <w:numId w:val="1003"/>
        </w:numPr>
        <w:pStyle w:val="Compact"/>
      </w:pPr>
      <w:r>
        <w:t xml:space="preserve">Establishing a dedicated Mathematician Residency Program in partnership with NYU and Columbia University</w:t>
      </w:r>
    </w:p>
    <w:p>
      <w:pPr>
        <w:numPr>
          <w:ilvl w:val="0"/>
          <w:numId w:val="1003"/>
        </w:numPr>
        <w:pStyle w:val="Compact"/>
      </w:pPr>
      <w:r>
        <w:t xml:space="preserve">Developing standardized "Mathematical Value Proposition" templates for all sales teams</w:t>
      </w:r>
    </w:p>
    <w:p>
      <w:pPr>
        <w:numPr>
          <w:ilvl w:val="0"/>
          <w:numId w:val="1003"/>
        </w:numPr>
        <w:pStyle w:val="Compact"/>
      </w:pPr>
      <w:r>
        <w:t xml:space="preserve">Creating a NYC-specific Mathematician Certification Program to elevate service quality</w:t>
      </w:r>
    </w:p>
    <w:bookmarkEnd w:id="25"/>
    <w:bookmarkStart w:id="26" w:name="X25639df60bb92988734feebef57705e913b8f98"/>
    <w:p>
      <w:pPr>
        <w:pStyle w:val="Heading2"/>
      </w:pPr>
      <w:r>
        <w:t xml:space="preserve">Future Outlook: The Mathematician's Expanding Role</w:t>
      </w:r>
    </w:p>
    <w:p>
      <w:pPr>
        <w:pStyle w:val="FirstParagraph"/>
      </w:pPr>
      <w:r>
        <w:t xml:space="preserve">Our Sales Report projects that mathematicians will drive 85% of all new revenue in United States New York City by Q1 2024. This growth stems from three emerging trends:</w:t>
      </w:r>
    </w:p>
    <w:p>
      <w:pPr>
        <w:numPr>
          <w:ilvl w:val="0"/>
          <w:numId w:val="1004"/>
        </w:numPr>
        <w:pStyle w:val="Compact"/>
      </w:pPr>
      <w:r>
        <w:t xml:space="preserve">NYC's Smart City Initiative requiring mathematical modeling for traffic optimization, energy grid management, and public safety systems</w:t>
      </w:r>
    </w:p>
    <w:p>
      <w:pPr>
        <w:numPr>
          <w:ilvl w:val="0"/>
          <w:numId w:val="1004"/>
        </w:numPr>
        <w:pStyle w:val="Compact"/>
      </w:pPr>
      <w:r>
        <w:t xml:space="preserve">Rise of AI ethics frameworks demanding mathematician oversight in algorithmic decision-making</w:t>
      </w:r>
    </w:p>
    <w:p>
      <w:pPr>
        <w:numPr>
          <w:ilvl w:val="0"/>
          <w:numId w:val="1004"/>
        </w:numPr>
        <w:pStyle w:val="Compact"/>
      </w:pPr>
      <w:r>
        <w:t xml:space="preserve">Financial institutions increasingly mandating mathematically validated models for regulatory compliance (e.g., Basel III)</w:t>
      </w:r>
    </w:p>
    <w:p>
      <w:pPr>
        <w:pStyle w:val="FirstParagraph"/>
      </w:pPr>
      <w:r>
        <w:t xml:space="preserve">Crucially, the Mathematician is no longer a backend function but the frontline sales representative in our most valuable accounts. In United States New York City—where time equals money—the ability to solve complex problems with mathematical precision has become our primary competitive advantage.</w:t>
      </w:r>
    </w:p>
    <w:bookmarkEnd w:id="26"/>
    <w:bookmarkStart w:id="27" w:name="Xaa638077c402abb5596c8eb5bd230ed16cac766"/>
    <w:p>
      <w:pPr>
        <w:pStyle w:val="Heading2"/>
      </w:pPr>
      <w:r>
        <w:t xml:space="preserve">Conclusion: The Indispensable Mathematician</w:t>
      </w:r>
    </w:p>
    <w:p>
      <w:pPr>
        <w:pStyle w:val="FirstParagraph"/>
      </w:pPr>
      <w:r>
        <w:t xml:space="preserve">This Sales Report unequivocally establishes that the Mathematician is the cornerstone of our success in United States New York City. Every $1 invested in mathematician talent delivery yields $5.80 in revenue within our NYC operations—far exceeding returns from other strategic investments. As we navigate an increasingly complex global economy, the mathematical mindset is not just valuable; it's indispensable for sustainable growth in this market.</w:t>
      </w:r>
    </w:p>
    <w:p>
      <w:pPr>
        <w:pStyle w:val="BodyText"/>
      </w:pPr>
      <w:r>
        <w:t xml:space="preserve">For the first time, our sales data proves that when a Mathematician engages with a prospect in United States New York City, they don't just sell—they transform potential into measurable impact. We are confident that by doubling down on mathematician talent development and deployment across all NYC client interactions, we will achieve 35% annual revenue growth by 2025—setting a new standard for analytics excellence in the financial capital of the world.</w:t>
      </w:r>
    </w:p>
    <w:p>
      <w:pPr>
        <w:pStyle w:val="BodyText"/>
      </w:pPr>
      <w:r>
        <w:t xml:space="preserve">Prepared by Analytics Leadership Group | Sales Intelligence Division</w:t>
      </w:r>
      <w:r>
        <w:br/>
      </w:r>
      <w:r>
        <w:t xml:space="preserve">United States New York City Office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Report - United States New York City Market</dc:title>
  <dc:creator/>
  <dc:language>en</dc:language>
  <cp:keywords/>
  <dcterms:created xsi:type="dcterms:W3CDTF">2026-07-24T23:34:58Z</dcterms:created>
  <dcterms:modified xsi:type="dcterms:W3CDTF">2026-07-24T23:34:58Z</dcterms:modified>
</cp:coreProperties>
</file>

<file path=docProps/custom.xml><?xml version="1.0" encoding="utf-8"?>
<Properties xmlns="http://schemas.openxmlformats.org/officeDocument/2006/custom-properties" xmlns:vt="http://schemas.openxmlformats.org/officeDocument/2006/docPropsVTypes"/>
</file>