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Mathematics</w:t>
      </w:r>
      <w:r>
        <w:t xml:space="preserve"> </w:t>
      </w:r>
      <w:r>
        <w:t xml:space="preserve">Education</w:t>
      </w:r>
      <w:r>
        <w:t xml:space="preserve"> </w:t>
      </w:r>
      <w:r>
        <w:t xml:space="preserve">Solutions</w:t>
      </w:r>
      <w:r>
        <w:t xml:space="preserve"> </w:t>
      </w:r>
      <w:r>
        <w:t xml:space="preserve">for</w:t>
      </w:r>
      <w:r>
        <w:t xml:space="preserve"> </w:t>
      </w:r>
      <w:r>
        <w:t xml:space="preserve">Tashkent,</w:t>
      </w:r>
      <w:r>
        <w:t xml:space="preserve"> </w:t>
      </w:r>
      <w:r>
        <w:t xml:space="preserve">Uzbekistan</w:t>
      </w:r>
    </w:p>
    <w:bookmarkStart w:id="28" w:name="Xc3fedb361458aabb7574e458c6c85e74a80731a"/>
    <w:p>
      <w:pPr>
        <w:pStyle w:val="Heading1"/>
      </w:pPr>
      <w:r>
        <w:t xml:space="preserve">Sales Report: Mathematics Education Solutions Market Analysis and Performance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mathematics education solutions portfolio within the Tashkent market, Uzbekistan. The report confirms a significant growth trajectory in demand for advanced mathematics learning tools, driven by national educational reforms and the strategic focus on STEM development under Uzbekistan's National Strategy for Scientific and Technological Development (2021-2030). Our company has successfully secured partnerships with 8 key educational institutions across Tashkent, representing a 35% year-over-year increase in sales revenue. Crucially, this growth is not merely quantitative but reflects a deepening alignment between our solutions and the specific pedagogical needs of Uzbekistan's mathematics educators and students.</w:t>
      </w:r>
    </w:p>
    <w:bookmarkEnd w:id="20"/>
    <w:bookmarkStart w:id="21" w:name="X090e757808012ecfa332cc628ad5c89b9ed9c75"/>
    <w:p>
      <w:pPr>
        <w:pStyle w:val="Heading2"/>
      </w:pPr>
      <w:r>
        <w:t xml:space="preserve">II. Market Context: The Mathematics Imperative in Uzbekistan Tashkent</w:t>
      </w:r>
    </w:p>
    <w:p>
      <w:pPr>
        <w:pStyle w:val="FirstParagraph"/>
      </w:pPr>
      <w:r>
        <w:t xml:space="preserve">Tashkent, as the economic and educational capital of Uzbekistan, is at the forefront of a nationwide initiative to modernize STEM education. The Ministry of Education's 2023-2030 Action Plan explicitly prioritizes "enhancing mathematical literacy and computational thinking across all educational levels." This national focus has created an urgent market need for innovative mathematics education tools that bridge the gap between traditional teaching methods and the demands of a digital economy. Our analysis indicates that Tashkent's public schools alone require approximately 12,000 new digital mathematics workstations by 2025 to meet these targets. Furthermore, private educational institutions in Tashkent (such as those in the Chilanzar and Sergeli districts) are aggressively investing in technology-enhanced learning to attract students seeking competitive academic advantages.</w:t>
      </w:r>
    </w:p>
    <w:p>
      <w:pPr>
        <w:pStyle w:val="BodyText"/>
      </w:pPr>
      <w:r>
        <w:t xml:space="preserve">Crucially, this market demand is not about hiring a "Mathematician" as a person. It centers on deploying robust, culturally relevant *mathematics education solutions* that empower *educators* (the true mathematicians in the classroom) to deliver superior instruction. Our products directly support these educators in their mission.</w:t>
      </w:r>
    </w:p>
    <w:bookmarkEnd w:id="21"/>
    <w:bookmarkStart w:id="22" w:name="X79477c3172d3432ee85ec66ebe0990d90b07296"/>
    <w:p>
      <w:pPr>
        <w:pStyle w:val="Heading2"/>
      </w:pPr>
      <w:r>
        <w:t xml:space="preserve">III. Product Performance: Tailored for Tashkent's Needs</w:t>
      </w:r>
    </w:p>
    <w:p>
      <w:pPr>
        <w:pStyle w:val="FirstParagraph"/>
      </w:pPr>
      <w:r>
        <w:t xml:space="preserve">Our flagship solution, "MathMaster Uzbek," was specifically engineered for the Uzbek curriculum and Tashkent's educational ecosystem. Key features include:</w:t>
      </w:r>
    </w:p>
    <w:p>
      <w:pPr>
        <w:numPr>
          <w:ilvl w:val="0"/>
          <w:numId w:val="1001"/>
        </w:numPr>
        <w:pStyle w:val="Compact"/>
      </w:pPr>
      <w:r>
        <w:rPr>
          <w:bCs/>
          <w:b/>
        </w:rPr>
        <w:t xml:space="preserve">Uzbek Language Interface &amp; Content:</w:t>
      </w:r>
      <w:r>
        <w:t xml:space="preserve"> </w:t>
      </w:r>
      <w:r>
        <w:t xml:space="preserve">All materials, problem sets, and tutor guidance are fully localized in Uzbek, eliminating language barriers for students (a critical factor identified in our Tashkent teacher focus groups).</w:t>
      </w:r>
    </w:p>
    <w:p>
      <w:pPr>
        <w:numPr>
          <w:ilvl w:val="0"/>
          <w:numId w:val="1001"/>
        </w:numPr>
        <w:pStyle w:val="Compact"/>
      </w:pPr>
      <w:r>
        <w:rPr>
          <w:bCs/>
          <w:b/>
        </w:rPr>
        <w:t xml:space="preserve">Curriculum Alignment:</w:t>
      </w:r>
      <w:r>
        <w:t xml:space="preserve"> </w:t>
      </w:r>
      <w:r>
        <w:t xml:space="preserve">Content maps precisely to Uzbekistan's State Educational Standards for Mathematics at grades 5-12, developed with input from Tashkent State University of Economics and the Ministry of Education.</w:t>
      </w:r>
    </w:p>
    <w:p>
      <w:pPr>
        <w:numPr>
          <w:ilvl w:val="0"/>
          <w:numId w:val="1001"/>
        </w:numPr>
        <w:pStyle w:val="Compact"/>
      </w:pPr>
      <w:r>
        <w:rPr>
          <w:bCs/>
          <w:b/>
        </w:rPr>
        <w:t xml:space="preserve">Offline-First Functionality:</w:t>
      </w:r>
      <w:r>
        <w:t xml:space="preserve"> </w:t>
      </w:r>
      <w:r>
        <w:t xml:space="preserve">Designed for reliable use in schools with inconsistent internet connectivity, a common challenge across Tashkent's diverse districts.</w:t>
      </w:r>
    </w:p>
    <w:p>
      <w:pPr>
        <w:numPr>
          <w:ilvl w:val="0"/>
          <w:numId w:val="1001"/>
        </w:numPr>
        <w:pStyle w:val="Compact"/>
      </w:pPr>
      <w:r>
        <w:rPr>
          <w:bCs/>
          <w:b/>
        </w:rPr>
        <w:t xml:space="preserve">Teacher Dashboard:</w:t>
      </w:r>
      <w:r>
        <w:t xml:space="preserve"> </w:t>
      </w:r>
      <w:r>
        <w:t xml:space="preserve">An intuitive tool allowing educators (the mathematicians) to track student progress, identify specific knowledge gaps, and generate personalized learning paths – directly addressing the needs of Tashkent's teaching staff.</w:t>
      </w:r>
    </w:p>
    <w:bookmarkEnd w:id="22"/>
    <w:bookmarkStart w:id="24" w:name="X0bd6d751d3ba6d708caee99f041a0a70ad65bf8"/>
    <w:p>
      <w:pPr>
        <w:pStyle w:val="Heading2"/>
      </w:pPr>
      <w:r>
        <w:t xml:space="preserve">IV. Sales Performance: Q3 2023 in Tashkent</w:t>
      </w:r>
    </w:p>
    <w:p>
      <w:pPr>
        <w:pStyle w:val="FirstParagraph"/>
      </w:pPr>
      <w:r>
        <w:t xml:space="preserve">The Q3 sales results for our mathematics education solutions in Uzbekistan Tashkent are exceptionally strong, demonstrating market validation:</w:t>
      </w:r>
    </w:p>
    <w:p>
      <w:pPr>
        <w:numPr>
          <w:ilvl w:val="0"/>
          <w:numId w:val="1002"/>
        </w:numPr>
        <w:pStyle w:val="Compact"/>
      </w:pPr>
      <w:r>
        <w:rPr>
          <w:bCs/>
          <w:b/>
        </w:rPr>
        <w:t xml:space="preserve">Revenue Growth:</w:t>
      </w:r>
      <w:r>
        <w:t xml:space="preserve"> </w:t>
      </w:r>
      <w:r>
        <w:t xml:space="preserve">Total sales reached $158,500 UZS (approx. $13,700 USD), a 42% increase compared to Q2 and a 35% jump over Q3 2022.</w:t>
      </w:r>
    </w:p>
    <w:p>
      <w:pPr>
        <w:numPr>
          <w:ilvl w:val="0"/>
          <w:numId w:val="1002"/>
        </w:numPr>
        <w:pStyle w:val="Compact"/>
      </w:pPr>
      <w:r>
        <w:rPr>
          <w:bCs/>
          <w:b/>
        </w:rPr>
        <w:t xml:space="preserve">New Institutional Contracts:</w:t>
      </w:r>
      <w:r>
        <w:t xml:space="preserve"> </w:t>
      </w:r>
      <w:r>
        <w:t xml:space="preserve">Secured agreements with 5 major public secondary schools (including School #69 in Tashkent city center and School #87 in the Mirobod district) and 3 private academies (e.g., "EduCenter" near Alisher Navoiy Street).</w:t>
      </w:r>
    </w:p>
    <w:p>
      <w:pPr>
        <w:numPr>
          <w:ilvl w:val="0"/>
          <w:numId w:val="1002"/>
        </w:numPr>
        <w:pStyle w:val="Compact"/>
      </w:pPr>
      <w:r>
        <w:rPr>
          <w:bCs/>
          <w:b/>
        </w:rPr>
        <w:t xml:space="preserve">Volume Sold:</w:t>
      </w:r>
      <w:r>
        <w:t xml:space="preserve"> </w:t>
      </w:r>
      <w:r>
        <w:t xml:space="preserve">Deployed 1,250 licensed user seats across Tashkent schools. The largest single contract was for School #43 (Tashkent), covering 350 students.</w:t>
      </w:r>
    </w:p>
    <w:p>
      <w:pPr>
        <w:numPr>
          <w:ilvl w:val="0"/>
          <w:numId w:val="1002"/>
        </w:numPr>
        <w:pStyle w:val="Compact"/>
      </w:pPr>
      <w:r>
        <w:rPr>
          <w:bCs/>
          <w:b/>
        </w:rPr>
        <w:t xml:space="preserve">Sales Pipeline:</w:t>
      </w:r>
      <w:r>
        <w:t xml:space="preserve"> </w:t>
      </w:r>
      <w:r>
        <w:t xml:space="preserve">Active pipeline value stands at $285,000 UZS (approx. $24,750 USD) for Q4 2023, primarily from Tashkent-based institutions planning full-year rollouts.</w:t>
      </w:r>
    </w:p>
    <w:bookmarkStart w:id="23" w:name="X0f267da28a5430ad3ef88818317ae129bfec151"/>
    <w:p>
      <w:pPr>
        <w:pStyle w:val="Heading3"/>
      </w:pPr>
      <w:r>
        <w:t xml:space="preserve">Key Success Factors Driving Sales in Tashkent:</w:t>
      </w:r>
    </w:p>
    <w:p>
      <w:pPr>
        <w:numPr>
          <w:ilvl w:val="0"/>
          <w:numId w:val="1003"/>
        </w:numPr>
        <w:pStyle w:val="Compact"/>
      </w:pPr>
      <w:r>
        <w:rPr>
          <w:bCs/>
          <w:b/>
        </w:rPr>
        <w:t xml:space="preserve">Government Alignment:</w:t>
      </w:r>
      <w:r>
        <w:t xml:space="preserve"> </w:t>
      </w:r>
      <w:r>
        <w:t xml:space="preserve">Proactive engagement with the Ministry of Education's Digital School Initiative, positioning MathMaster Uzbek as a compliant solution.</w:t>
      </w:r>
    </w:p>
    <w:p>
      <w:pPr>
        <w:numPr>
          <w:ilvl w:val="0"/>
          <w:numId w:val="1003"/>
        </w:numPr>
        <w:pStyle w:val="Compact"/>
      </w:pPr>
      <w:r>
        <w:rPr>
          <w:bCs/>
          <w:b/>
        </w:rPr>
        <w:t xml:space="preserve">Local Partnerships:</w:t>
      </w:r>
      <w:r>
        <w:t xml:space="preserve"> </w:t>
      </w:r>
      <w:r>
        <w:t xml:space="preserve">Strategic collaboration with Tashkent State University of Economics to co-develop content modules, lending institutional credibility.</w:t>
      </w:r>
    </w:p>
    <w:p>
      <w:pPr>
        <w:numPr>
          <w:ilvl w:val="0"/>
          <w:numId w:val="1003"/>
        </w:numPr>
        <w:pStyle w:val="Compact"/>
      </w:pPr>
      <w:r>
        <w:rPr>
          <w:bCs/>
          <w:b/>
        </w:rPr>
        <w:t xml:space="preserve">Teacher-Centric Design:</w:t>
      </w:r>
      <w:r>
        <w:t xml:space="preserve"> </w:t>
      </w:r>
      <w:r>
        <w:t xml:space="preserve">The focus on empowering the educator (the real "mathematician" in the school) rather than just providing software was a decisive differentiator. Teacher testimonials highlighted reduced grading time and improved student engagement as key benefits.</w:t>
      </w:r>
    </w:p>
    <w:bookmarkEnd w:id="23"/>
    <w:bookmarkEnd w:id="24"/>
    <w:bookmarkStart w:id="25" w:name="v.-challenges-and-strategic-response"/>
    <w:p>
      <w:pPr>
        <w:pStyle w:val="Heading2"/>
      </w:pPr>
      <w:r>
        <w:t xml:space="preserve">V. Challenges and Strategic Response</w:t>
      </w:r>
    </w:p>
    <w:p>
      <w:pPr>
        <w:pStyle w:val="FirstParagraph"/>
      </w:pPr>
      <w:r>
        <w:t xml:space="preserve">While the Tashkent market is highly receptive, challenges remain:</w:t>
      </w:r>
    </w:p>
    <w:p>
      <w:pPr>
        <w:numPr>
          <w:ilvl w:val="0"/>
          <w:numId w:val="1004"/>
        </w:numPr>
        <w:pStyle w:val="Compact"/>
      </w:pPr>
      <w:r>
        <w:rPr>
          <w:bCs/>
          <w:b/>
        </w:rPr>
        <w:t xml:space="preserve">Budget Constraints:</w:t>
      </w:r>
      <w:r>
        <w:t xml:space="preserve"> </w:t>
      </w:r>
      <w:r>
        <w:t xml:space="preserve">Some public schools face delayed budget cycles. *Response:* Implemented flexible payment plans in UZS (3-6 months), approved by the Tashkent Department of Education.</w:t>
      </w:r>
    </w:p>
    <w:p>
      <w:pPr>
        <w:numPr>
          <w:ilvl w:val="0"/>
          <w:numId w:val="1004"/>
        </w:numPr>
        <w:pStyle w:val="Compact"/>
      </w:pPr>
      <w:r>
        <w:rPr>
          <w:bCs/>
          <w:b/>
        </w:rPr>
        <w:t xml:space="preserve">Technical Integration:</w:t>
      </w:r>
      <w:r>
        <w:t xml:space="preserve"> </w:t>
      </w:r>
      <w:r>
        <w:t xml:space="preserve">Legacy school computer systems required customization. *Response:* Dedicated local technical team based in Tashkent provided on-site support, completing 28 integrations this quarter.</w:t>
      </w:r>
    </w:p>
    <w:bookmarkEnd w:id="25"/>
    <w:bookmarkStart w:id="26" w:name="Xa00d76d6345f0a43afcff8093454ceb3a1a9bd1"/>
    <w:p>
      <w:pPr>
        <w:pStyle w:val="Heading2"/>
      </w:pPr>
      <w:r>
        <w:t xml:space="preserve">VI. Future Outlook: Scaling Mathematics Excellence in Uzbekistan</w:t>
      </w:r>
    </w:p>
    <w:p>
      <w:pPr>
        <w:pStyle w:val="FirstParagraph"/>
      </w:pPr>
      <w:r>
        <w:t xml:space="preserve">The success of Q3 provides a strong foundation for expanding our mathematics education solutions across Uzbekistan Tashkent and beyond. Our strategic priorities for Q4 2023 and 2024 include:</w:t>
      </w:r>
    </w:p>
    <w:p>
      <w:pPr>
        <w:numPr>
          <w:ilvl w:val="0"/>
          <w:numId w:val="1005"/>
        </w:numPr>
        <w:pStyle w:val="Compact"/>
      </w:pPr>
      <w:r>
        <w:rPr>
          <w:bCs/>
          <w:b/>
        </w:rPr>
        <w:t xml:space="preserve">Deepening Tashkent Penetration:</w:t>
      </w:r>
      <w:r>
        <w:t xml:space="preserve"> </w:t>
      </w:r>
      <w:r>
        <w:t xml:space="preserve">Targeting all 15 schools in the Yakkasaray district (Tashkent) through a bundled offering with Ministry-recognized professional development for teachers.</w:t>
      </w:r>
    </w:p>
    <w:p>
      <w:pPr>
        <w:numPr>
          <w:ilvl w:val="0"/>
          <w:numId w:val="1005"/>
        </w:numPr>
        <w:pStyle w:val="Compact"/>
      </w:pPr>
      <w:r>
        <w:rPr>
          <w:bCs/>
          <w:b/>
        </w:rPr>
        <w:t xml:space="preserve">Product Enhancement:</w:t>
      </w:r>
      <w:r>
        <w:t xml:space="preserve"> </w:t>
      </w:r>
      <w:r>
        <w:t xml:space="preserve">Launching a "Mathematician Mentor" feature within MathMaster Uzbek, providing AI-powered, Uzbek-language coaching for student problem-solving – directly supporting the educator's role.</w:t>
      </w:r>
    </w:p>
    <w:p>
      <w:pPr>
        <w:numPr>
          <w:ilvl w:val="0"/>
          <w:numId w:val="1005"/>
        </w:numPr>
        <w:pStyle w:val="Compact"/>
      </w:pPr>
      <w:r>
        <w:rPr>
          <w:bCs/>
          <w:b/>
        </w:rPr>
        <w:t xml:space="preserve">National Expansion:</w:t>
      </w:r>
      <w:r>
        <w:t xml:space="preserve"> </w:t>
      </w:r>
      <w:r>
        <w:t xml:space="preserve">Leveraging Tashkent success to secure contracts with major institutions in Samarkand and Namangan by Q2 2024.</w:t>
      </w:r>
    </w:p>
    <w:bookmarkEnd w:id="26"/>
    <w:bookmarkStart w:id="27" w:name="vii.-conclusion"/>
    <w:p>
      <w:pPr>
        <w:pStyle w:val="Heading2"/>
      </w:pPr>
      <w:r>
        <w:t xml:space="preserve">VII. Conclusion</w:t>
      </w:r>
    </w:p>
    <w:p>
      <w:pPr>
        <w:pStyle w:val="FirstParagraph"/>
      </w:pPr>
      <w:r>
        <w:t xml:space="preserve">The Sales Report for Mathematics Education Solutions in Uzbekistan Tashkent underscores a market poised for significant growth, fueled by national educational priorities. Our company has not only met but actively shaped this demand through culturally attuned solutions that empower educators – the true mathematicians driving student success. The 35% YoY revenue growth in Tashkent is a testament to the strategic fit of our offerings with Uzbekistan's vision for educational advancement. We are confident that our continued focus on delivering value for *mathematics educators* within the specific context of Tashkent and Uzbekistan will solidify our position as a leader in STEM education solutions across Central Asia. The path forward is clear: deepen partnerships, enhance localized features, and scale success from Tashkent to every corner of Uzbekistan.</w:t>
      </w:r>
    </w:p>
    <w:p>
      <w:pPr>
        <w:pStyle w:val="BodyText"/>
      </w:pPr>
      <w:r>
        <w:rPr>
          <w:bCs/>
          <w:b/>
        </w:rPr>
        <w:t xml:space="preserve">Prepared By:</w:t>
      </w:r>
      <w:r>
        <w:t xml:space="preserve"> </w:t>
      </w:r>
      <w:r>
        <w:t xml:space="preserve">Global Education Solutions - Central Asia Division</w:t>
      </w:r>
      <w:r>
        <w:br/>
      </w:r>
      <w:r>
        <w:rPr>
          <w:bCs/>
          <w:b/>
        </w:rPr>
        <w:t xml:space="preserve">Contact:</w:t>
      </w:r>
      <w:r>
        <w:t xml:space="preserve"> </w:t>
      </w:r>
      <w:r>
        <w:t xml:space="preserve">tashkent.sales@globalmathsolutions.com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Mathematics Education Solutions for Tashkent, Uzbekistan</dc:title>
  <dc:creator/>
  <dc:language>en</dc:language>
  <cp:keywords/>
  <dcterms:created xsi:type="dcterms:W3CDTF">2025-12-11T10:35:42Z</dcterms:created>
  <dcterms:modified xsi:type="dcterms:W3CDTF">2025-12-11T10:35:42Z</dcterms:modified>
</cp:coreProperties>
</file>

<file path=docProps/custom.xml><?xml version="1.0" encoding="utf-8"?>
<Properties xmlns="http://schemas.openxmlformats.org/officeDocument/2006/custom-properties" xmlns:vt="http://schemas.openxmlformats.org/officeDocument/2006/docPropsVTypes"/>
</file>