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Caracas,</w:t>
      </w:r>
      <w:r>
        <w:t xml:space="preserve"> </w:t>
      </w:r>
      <w:r>
        <w:t xml:space="preserve">Venezuela</w:t>
      </w:r>
    </w:p>
    <w:bookmarkStart w:id="29" w:name="X421c0a0fa17185960241579c78f392c76191280"/>
    <w:p>
      <w:pPr>
        <w:pStyle w:val="Heading1"/>
      </w:pPr>
      <w:r>
        <w:t xml:space="preserve">Mathematician Sales Performance Report: Caracas, Venezuela - Q1 2024</w:t>
      </w:r>
    </w:p>
    <w:bookmarkStart w:id="20" w:name="executive-summary"/>
    <w:p>
      <w:pPr>
        <w:pStyle w:val="Heading2"/>
      </w:pPr>
      <w:r>
        <w:t xml:space="preserve">Executive Summary</w:t>
      </w:r>
    </w:p>
    <w:p>
      <w:pPr>
        <w:pStyle w:val="FirstParagraph"/>
      </w:pPr>
      <w:r>
        <w:t xml:space="preserve">The Mathematician Sales Team in Venezuela Caracas has achieved remarkable resilience and growth during the first quarter of 2024 despite challenging macroeconomic conditions. This comprehensive Sales Report details the performance, market dynamics, and strategic insights for our flagship mathematics education platform "Mathematician" across Caracas metropolitan area. The report confirms that demand for premium mathematical tools has surged in Venezuela's capital city as institutions prioritize STEM education amid economic uncertainty.</w:t>
      </w:r>
    </w:p>
    <w:p>
      <w:pPr>
        <w:pStyle w:val="BodyText"/>
      </w:pPr>
      <w:r>
        <w:t xml:space="preserve">Notably, sales volume increased by 37% year-over-year (Q1 2023: 4,200 licenses; Q1 2024: 5,768 licenses), with Caracas contributing over 78% of total Venezuela sales. This performance positions "Mathematician" as the leading mathematics education solution in Caracas' competitive edtech landscape.</w:t>
      </w:r>
    </w:p>
    <w:bookmarkEnd w:id="20"/>
    <w:bookmarkStart w:id="23" w:name="Xdb910560ab58b6f9e3aab9658c8a9912c13fcf9"/>
    <w:p>
      <w:pPr>
        <w:pStyle w:val="Heading2"/>
      </w:pPr>
      <w:r>
        <w:t xml:space="preserve">Q1 2024 Sales Performance: Venezuela Caracas</w:t>
      </w:r>
    </w:p>
    <w:bookmarkStart w:id="21" w:name="quantitative-results"/>
    <w:p>
      <w:pPr>
        <w:pStyle w:val="Heading3"/>
      </w:pPr>
      <w:r>
        <w:t xml:space="preserve">Quantitative Results</w:t>
      </w:r>
    </w:p>
    <w:p>
      <w:pPr>
        <w:pStyle w:val="FirstParagraph"/>
      </w:pPr>
      <w:r>
        <w:t xml:space="preserve">Our core product "Mathematician" achieved unprecedented penetration in Caracas' educational ecosystem. Key metrics include:</w:t>
      </w:r>
    </w:p>
    <w:p>
      <w:pPr>
        <w:numPr>
          <w:ilvl w:val="0"/>
          <w:numId w:val="1001"/>
        </w:numPr>
        <w:pStyle w:val="Compact"/>
      </w:pPr>
      <w:r>
        <w:rPr>
          <w:bCs/>
          <w:b/>
        </w:rPr>
        <w:t xml:space="preserve">Revenue Growth:</w:t>
      </w:r>
      <w:r>
        <w:t xml:space="preserve"> </w:t>
      </w:r>
      <w:r>
        <w:t xml:space="preserve">$84,500 (up 42% from Q1 2023's $59,500)</w:t>
      </w:r>
    </w:p>
    <w:p>
      <w:pPr>
        <w:numPr>
          <w:ilvl w:val="0"/>
          <w:numId w:val="1001"/>
        </w:numPr>
        <w:pStyle w:val="Compact"/>
      </w:pPr>
      <w:r>
        <w:rPr>
          <w:bCs/>
          <w:b/>
        </w:rPr>
        <w:t xml:space="preserve">Client Acquisition:</w:t>
      </w:r>
      <w:r>
        <w:t xml:space="preserve"> </w:t>
      </w:r>
      <w:r>
        <w:t xml:space="preserve">187 new institutions (including 67 public schools and 42 private universities) in Caracas</w:t>
      </w:r>
    </w:p>
    <w:p>
      <w:pPr>
        <w:numPr>
          <w:ilvl w:val="0"/>
          <w:numId w:val="1001"/>
        </w:numPr>
        <w:pStyle w:val="Compact"/>
      </w:pPr>
      <w:r>
        <w:rPr>
          <w:bCs/>
          <w:b/>
        </w:rPr>
        <w:t xml:space="preserve">Product Adoption:</w:t>
      </w:r>
      <w:r>
        <w:t xml:space="preserve"> </w:t>
      </w:r>
      <w:r>
        <w:t xml:space="preserve">"Mathematician" Premium subscriptions increased by 53% among secondary schools</w:t>
      </w:r>
    </w:p>
    <w:p>
      <w:pPr>
        <w:numPr>
          <w:ilvl w:val="0"/>
          <w:numId w:val="1001"/>
        </w:numPr>
        <w:pStyle w:val="Compact"/>
      </w:pPr>
      <w:r>
        <w:rPr>
          <w:bCs/>
          <w:b/>
        </w:rPr>
        <w:t xml:space="preserve">Geographic Coverage:</w:t>
      </w:r>
      <w:r>
        <w:t xml:space="preserve"> </w:t>
      </w:r>
      <w:r>
        <w:t xml:space="preserve">Full coverage across all 13 municipalities of Greater Caracas (Chacao, Libertador, etc.)</w:t>
      </w:r>
    </w:p>
    <w:p>
      <w:pPr>
        <w:pStyle w:val="FirstParagraph"/>
      </w:pPr>
      <w:r>
        <w:rPr>
          <w:bCs/>
          <w:b/>
        </w:rPr>
        <w:t xml:space="preserve">Market Insight:</w:t>
      </w:r>
      <w:r>
        <w:t xml:space="preserve"> </w:t>
      </w:r>
      <w:r>
        <w:t xml:space="preserve">The "Mathematician" platform has become indispensable for Caracas educators navigating Venezuela's educational crisis. In January 2024, we partnered with the Ministry of Education's Caracas office to provide free basic access to 50 public schools during their nationwide curriculum overhaul – this strategic move directly contributed to our Q1 growth.</w:t>
      </w:r>
    </w:p>
    <w:bookmarkEnd w:id="21"/>
    <w:bookmarkStart w:id="22" w:name="client-segmentation-analysis"/>
    <w:p>
      <w:pPr>
        <w:pStyle w:val="Heading3"/>
      </w:pPr>
      <w:r>
        <w:t xml:space="preserve">Client Segmentation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Q1 2023 (Units)</w:t>
            </w:r>
          </w:p>
        </w:tc>
        <w:tc>
          <w:tcPr/>
          <w:p>
            <w:pPr>
              <w:pStyle w:val="Compact"/>
              <w:jc w:val="left"/>
            </w:pPr>
            <w:r>
              <w:t xml:space="preserve">Q1 2024 (Units)</w:t>
            </w:r>
          </w:p>
        </w:tc>
        <w:tc>
          <w:tcPr/>
          <w:p>
            <w:pPr>
              <w:pStyle w:val="Compact"/>
              <w:jc w:val="left"/>
            </w:pPr>
            <w:r>
              <w:t xml:space="preserve">Growth Rate</w:t>
            </w:r>
          </w:p>
        </w:tc>
      </w:tr>
      <w:tr>
        <w:tc>
          <w:tcPr/>
          <w:p>
            <w:pPr>
              <w:pStyle w:val="Compact"/>
              <w:jc w:val="left"/>
            </w:pPr>
            <w:r>
              <w:t xml:space="preserve">Public High Schools</w:t>
            </w:r>
          </w:p>
        </w:tc>
        <w:tc>
          <w:tcPr/>
          <w:p>
            <w:pPr>
              <w:pStyle w:val="Compact"/>
              <w:jc w:val="left"/>
            </w:pPr>
            <w:r>
              <w:t xml:space="preserve">84</w:t>
            </w:r>
          </w:p>
        </w:tc>
        <w:tc>
          <w:tcPr/>
          <w:p>
            <w:pPr>
              <w:pStyle w:val="Compact"/>
              <w:jc w:val="left"/>
            </w:pPr>
            <w:r>
              <w:t xml:space="preserve">136</w:t>
            </w:r>
          </w:p>
        </w:tc>
        <w:tc>
          <w:tcPr/>
          <w:p>
            <w:pPr>
              <w:pStyle w:val="Compact"/>
              <w:jc w:val="left"/>
            </w:pPr>
            <w:r>
              <w:t xml:space="preserve">+61.9%</w:t>
            </w:r>
          </w:p>
        </w:tc>
      </w:tr>
      <w:tr>
        <w:tc>
          <w:tcPr/>
          <w:p>
            <w:pPr>
              <w:pStyle w:val="Compact"/>
              <w:jc w:val="left"/>
            </w:pPr>
            <w:r>
              <w:t xml:space="preserve">Private Universities (Caracas)</w:t>
            </w:r>
          </w:p>
        </w:tc>
        <w:tc>
          <w:tcPr/>
          <w:p>
            <w:pPr>
              <w:pStyle w:val="Compact"/>
              <w:jc w:val="left"/>
            </w:pPr>
            <w:r>
              <w:t xml:space="preserve">32</w:t>
            </w:r>
          </w:p>
        </w:tc>
        <w:tc>
          <w:tcPr/>
          <w:p>
            <w:pPr>
              <w:pStyle w:val="Compact"/>
              <w:jc w:val="left"/>
            </w:pPr>
            <w:r>
              <w:t xml:space="preserve">58</w:t>
            </w:r>
          </w:p>
        </w:tc>
        <w:tc>
          <w:tcPr/>
          <w:p>
            <w:pPr>
              <w:pStyle w:val="Compact"/>
              <w:jc w:val="left"/>
            </w:pPr>
            <w:r>
              <w:t xml:space="preserve">+81.2%</w:t>
            </w:r>
          </w:p>
        </w:tc>
      </w:tr>
      <w:tr>
        <w:tc>
          <w:tcPr/>
          <w:p>
            <w:pPr>
              <w:pStyle w:val="Compact"/>
              <w:jc w:val="left"/>
            </w:pPr>
            <w:r>
              <w:t xml:space="preserve">Clinical Mathematics Centers</w:t>
            </w:r>
          </w:p>
        </w:tc>
        <w:tc>
          <w:tcPr/>
          <w:p>
            <w:pPr>
              <w:pStyle w:val="Compact"/>
              <w:jc w:val="left"/>
            </w:pPr>
            <w:r>
              <w:t xml:space="preserve">17</w:t>
            </w:r>
          </w:p>
        </w:tc>
        <w:tc>
          <w:tcPr/>
          <w:p>
            <w:pPr>
              <w:pStyle w:val="Compact"/>
              <w:jc w:val="left"/>
            </w:pPr>
            <w:r>
              <w:t xml:space="preserve">43</w:t>
            </w:r>
          </w:p>
        </w:tc>
        <w:tc>
          <w:tcPr/>
          <w:p>
            <w:pPr>
              <w:pStyle w:val="Compact"/>
              <w:jc w:val="left"/>
            </w:pPr>
            <w:r>
              <w:t xml:space="preserve">+152.9%</w:t>
            </w:r>
          </w:p>
        </w:tc>
      </w:tr>
      <w:tr>
        <w:tc>
          <w:tcPr/>
          <w:p>
            <w:pPr>
              <w:pStyle w:val="Compact"/>
              <w:jc w:val="left"/>
            </w:pPr>
            <w:r>
              <w:t xml:space="preserve">Corporate Training (FinTech/Engineering)</w:t>
            </w:r>
          </w:p>
        </w:tc>
        <w:tc>
          <w:tcPr/>
          <w:p>
            <w:pPr>
              <w:pStyle w:val="Compact"/>
              <w:jc w:val="left"/>
            </w:pPr>
            <w:r>
              <w:t xml:space="preserve">9</w:t>
            </w:r>
          </w:p>
        </w:tc>
        <w:tc>
          <w:tcPr/>
          <w:p>
            <w:pPr>
              <w:pStyle w:val="Compact"/>
              <w:jc w:val="left"/>
            </w:pPr>
            <w:r>
              <w:t xml:space="preserve">24</w:t>
            </w:r>
          </w:p>
        </w:tc>
        <w:tc>
          <w:tcPr/>
          <w:p>
            <w:pPr>
              <w:pStyle w:val="Compact"/>
              <w:jc w:val="left"/>
            </w:pPr>
            <w:r>
              <w:t xml:space="preserve">+166.7%</w:t>
            </w:r>
          </w:p>
        </w:tc>
      </w:tr>
    </w:tbl>
    <w:p>
      <w:pPr>
        <w:pStyle w:val="BodyText"/>
      </w:pPr>
      <w:r>
        <w:rPr>
          <w:bCs/>
          <w:b/>
        </w:rPr>
        <w:t xml:space="preserve">Critical Observation:</w:t>
      </w:r>
      <w:r>
        <w:t xml:space="preserve"> </w:t>
      </w:r>
      <w:r>
        <w:t xml:space="preserve">The 152.9% growth in Clinical Mathematics Centers reflects Venezuela Caracas' emerging demand for advanced quantitative skills in healthcare analytics – a direct response to medical system challenges.</w:t>
      </w:r>
    </w:p>
    <w:bookmarkEnd w:id="22"/>
    <w:bookmarkEnd w:id="23"/>
    <w:bookmarkStart w:id="26" w:name="market-dynamics-competitive-landscape"/>
    <w:p>
      <w:pPr>
        <w:pStyle w:val="Heading2"/>
      </w:pPr>
      <w:r>
        <w:t xml:space="preserve">Market Dynamics &amp; Competitive Landscape</w:t>
      </w:r>
    </w:p>
    <w:bookmarkStart w:id="24" w:name="venezuela-caracas-specific-challenges"/>
    <w:p>
      <w:pPr>
        <w:pStyle w:val="Heading3"/>
      </w:pPr>
      <w:r>
        <w:t xml:space="preserve">Venezuela Caracas-Specific Challenges</w:t>
      </w:r>
    </w:p>
    <w:p>
      <w:pPr>
        <w:pStyle w:val="FirstParagraph"/>
      </w:pPr>
      <w:r>
        <w:t xml:space="preserve">The Caracas market presents unique complexities: hyperinflation (708% annual rate), currency volatility, and infrastructure limitations. Our sales strategy adapted through:</w:t>
      </w:r>
    </w:p>
    <w:p>
      <w:pPr>
        <w:numPr>
          <w:ilvl w:val="0"/>
          <w:numId w:val="1002"/>
        </w:numPr>
        <w:pStyle w:val="Compact"/>
      </w:pPr>
      <w:r>
        <w:rPr>
          <w:bCs/>
          <w:b/>
        </w:rPr>
        <w:t xml:space="preserve">Local Pricing Models:</w:t>
      </w:r>
      <w:r>
        <w:t xml:space="preserve"> </w:t>
      </w:r>
      <w:r>
        <w:t xml:space="preserve">Introduced "Bolivar-Indexed" subscriptions tied to monthly exchange rates</w:t>
      </w:r>
    </w:p>
    <w:p>
      <w:pPr>
        <w:numPr>
          <w:ilvl w:val="0"/>
          <w:numId w:val="1002"/>
        </w:numPr>
        <w:pStyle w:val="Compact"/>
      </w:pPr>
      <w:r>
        <w:rPr>
          <w:bCs/>
          <w:b/>
        </w:rPr>
        <w:t xml:space="preserve">Offline Functionality:</w:t>
      </w:r>
      <w:r>
        <w:t xml:space="preserve"> </w:t>
      </w:r>
      <w:r>
        <w:t xml:space="preserve">Enhanced offline capabilities for institutions with unstable internet</w:t>
      </w:r>
    </w:p>
    <w:p>
      <w:pPr>
        <w:numPr>
          <w:ilvl w:val="0"/>
          <w:numId w:val="1002"/>
        </w:numPr>
        <w:pStyle w:val="Compact"/>
      </w:pPr>
      <w:r>
        <w:rPr>
          <w:bCs/>
          <w:b/>
        </w:rPr>
        <w:t xml:space="preserve">School Partnership Program:</w:t>
      </w:r>
      <w:r>
        <w:t xml:space="preserve"> </w:t>
      </w:r>
      <w:r>
        <w:t xml:space="preserve">Co-developed curriculum materials with Caracas education authorities to ensure local relevance</w:t>
      </w:r>
    </w:p>
    <w:p>
      <w:pPr>
        <w:pStyle w:val="FirstParagraph"/>
      </w:pPr>
      <w:r>
        <w:rPr>
          <w:bCs/>
          <w:b/>
        </w:rPr>
        <w:t xml:space="preserve">Competitive Advantage:</w:t>
      </w:r>
      <w:r>
        <w:t xml:space="preserve"> </w:t>
      </w:r>
      <w:r>
        <w:t xml:space="preserve">While competitors like "Matemática Fácil" focused on basic arithmetic, "Mathematician" differentiated through its Caracas-specific content – including statistical modeling of Venezuela's economic data for advanced courses. This local context drove 68% higher retention rates among Caracas clients.</w:t>
      </w:r>
    </w:p>
    <w:bookmarkEnd w:id="24"/>
    <w:bookmarkStart w:id="25" w:name="key-growth-catalysts"/>
    <w:p>
      <w:pPr>
        <w:pStyle w:val="Heading3"/>
      </w:pPr>
      <w:r>
        <w:t xml:space="preserve">Key Growth Catalysts</w:t>
      </w:r>
    </w:p>
    <w:p>
      <w:pPr>
        <w:numPr>
          <w:ilvl w:val="0"/>
          <w:numId w:val="1003"/>
        </w:numPr>
        <w:pStyle w:val="Compact"/>
      </w:pPr>
      <w:r>
        <w:rPr>
          <w:bCs/>
          <w:b/>
        </w:rPr>
        <w:t xml:space="preserve">Ministry of Education Partnership:</w:t>
      </w:r>
      <w:r>
        <w:t xml:space="preserve"> </w:t>
      </w:r>
      <w:r>
        <w:t xml:space="preserve">Exclusive contract to provide "Mathematician" as the national standard for high school advanced math (effective May 2024)</w:t>
      </w:r>
    </w:p>
    <w:p>
      <w:pPr>
        <w:numPr>
          <w:ilvl w:val="0"/>
          <w:numId w:val="1003"/>
        </w:numPr>
        <w:pStyle w:val="Compact"/>
      </w:pPr>
      <w:r>
        <w:rPr>
          <w:bCs/>
          <w:b/>
        </w:rPr>
        <w:t xml:space="preserve">Institutional Trust:</w:t>
      </w:r>
      <w:r>
        <w:t xml:space="preserve"> </w:t>
      </w:r>
      <w:r>
        <w:t xml:space="preserve">Successful deployment at Central University of Venezuela (Caracas) in Q4 2023 served as a critical case study</w:t>
      </w:r>
    </w:p>
    <w:p>
      <w:pPr>
        <w:numPr>
          <w:ilvl w:val="0"/>
          <w:numId w:val="1003"/>
        </w:numPr>
        <w:pStyle w:val="Compact"/>
      </w:pPr>
      <w:r>
        <w:rPr>
          <w:bCs/>
          <w:b/>
        </w:rPr>
        <w:t xml:space="preserve">Community Engagement:</w:t>
      </w:r>
      <w:r>
        <w:t xml:space="preserve"> </w:t>
      </w:r>
      <w:r>
        <w:t xml:space="preserve">Free "Mathematics for Economic Resilience" workshops at Caracas community centers (7,500+ attendees Q1)</w:t>
      </w:r>
    </w:p>
    <w:bookmarkEnd w:id="25"/>
    <w:bookmarkEnd w:id="26"/>
    <w:bookmarkStart w:id="27" w:name="challenges-strategic-imperatives"/>
    <w:p>
      <w:pPr>
        <w:pStyle w:val="Heading2"/>
      </w:pPr>
      <w:r>
        <w:t xml:space="preserve">Challenges &amp; Strategic Imperatives</w:t>
      </w:r>
    </w:p>
    <w:p>
      <w:pPr>
        <w:pStyle w:val="FirstParagraph"/>
      </w:pPr>
      <w:r>
        <w:t xml:space="preserve">Despite strong performance, Venezuela Caracas presents persistent challenges:</w:t>
      </w:r>
    </w:p>
    <w:p>
      <w:pPr>
        <w:numPr>
          <w:ilvl w:val="0"/>
          <w:numId w:val="1004"/>
        </w:numPr>
        <w:pStyle w:val="Compact"/>
      </w:pPr>
      <w:r>
        <w:rPr>
          <w:bCs/>
          <w:b/>
        </w:rPr>
        <w:t xml:space="preserve">Cash Flow Volatility:</w:t>
      </w:r>
      <w:r>
        <w:t xml:space="preserve"> </w:t>
      </w:r>
      <w:r>
        <w:t xml:space="preserve">45% of payments received in USD vs. 15% in bolivars (increasing collection complexity)</w:t>
      </w:r>
    </w:p>
    <w:p>
      <w:pPr>
        <w:numPr>
          <w:ilvl w:val="0"/>
          <w:numId w:val="1004"/>
        </w:numPr>
        <w:pStyle w:val="Compact"/>
      </w:pPr>
      <w:r>
        <w:rPr>
          <w:bCs/>
          <w:b/>
        </w:rPr>
        <w:t xml:space="preserve">Technical Infrastructure:</w:t>
      </w:r>
      <w:r>
        <w:t xml:space="preserve"> </w:t>
      </w:r>
      <w:r>
        <w:t xml:space="preserve">Only 62% of Caracas schools have reliable internet (vs. national average of 48%)</w:t>
      </w:r>
    </w:p>
    <w:p>
      <w:pPr>
        <w:numPr>
          <w:ilvl w:val="0"/>
          <w:numId w:val="1004"/>
        </w:numPr>
        <w:pStyle w:val="Compact"/>
      </w:pPr>
      <w:r>
        <w:rPr>
          <w:bCs/>
          <w:b/>
        </w:rPr>
        <w:t xml:space="preserve">Competition:</w:t>
      </w:r>
      <w:r>
        <w:t xml:space="preserve"> </w:t>
      </w:r>
      <w:r>
        <w:t xml:space="preserve">New local entrants offering "free" basic versions with ads targeting low-income institutions</w:t>
      </w:r>
    </w:p>
    <w:p>
      <w:pPr>
        <w:pStyle w:val="FirstParagraph"/>
      </w:pPr>
      <w:r>
        <w:rPr>
          <w:bCs/>
          <w:b/>
        </w:rPr>
        <w:t xml:space="preserve">Strategic Response Framework for Venezuela Caracas:</w:t>
      </w:r>
    </w:p>
    <w:p>
      <w:pPr>
        <w:numPr>
          <w:ilvl w:val="0"/>
          <w:numId w:val="1005"/>
        </w:numPr>
        <w:pStyle w:val="Compact"/>
      </w:pPr>
      <w:r>
        <w:rPr>
          <w:iCs/>
          <w:i/>
        </w:rPr>
        <w:t xml:space="preserve">Accelerate Local Currency Solutions:</w:t>
      </w:r>
      <w:r>
        <w:t xml:space="preserve"> </w:t>
      </w:r>
      <w:r>
        <w:t xml:space="preserve">Launch "Mathematician Bolivar" payment plan (12 installments at fixed exchange rate)</w:t>
      </w:r>
    </w:p>
    <w:p>
      <w:pPr>
        <w:numPr>
          <w:ilvl w:val="0"/>
          <w:numId w:val="1005"/>
        </w:numPr>
        <w:pStyle w:val="Compact"/>
      </w:pPr>
      <w:r>
        <w:rPr>
          <w:iCs/>
          <w:i/>
        </w:rPr>
        <w:t xml:space="preserve">Expand Offline Ecosystem:</w:t>
      </w:r>
      <w:r>
        <w:t xml:space="preserve"> </w:t>
      </w:r>
      <w:r>
        <w:t xml:space="preserve">Develop low-bandwidth app version for offline problem-solving with scheduled sync</w:t>
      </w:r>
    </w:p>
    <w:p>
      <w:pPr>
        <w:numPr>
          <w:ilvl w:val="0"/>
          <w:numId w:val="1005"/>
        </w:numPr>
        <w:pStyle w:val="Compact"/>
      </w:pPr>
      <w:r>
        <w:rPr>
          <w:iCs/>
          <w:i/>
        </w:rPr>
        <w:t xml:space="preserve">Bolster Community Trust:</w:t>
      </w:r>
      <w:r>
        <w:t xml:space="preserve"> </w:t>
      </w:r>
      <w:r>
        <w:t xml:space="preserve">Establish "Caracas Mathematician Ambassadors" program within universities</w:t>
      </w:r>
    </w:p>
    <w:p>
      <w:pPr>
        <w:pStyle w:val="FirstParagraph"/>
      </w:pPr>
      <w:r>
        <w:rPr>
          <w:bCs/>
          <w:b/>
        </w:rPr>
        <w:t xml:space="preserve">Caracas Market Opportunity:</w:t>
      </w:r>
      <w:r>
        <w:t xml:space="preserve"> </w:t>
      </w:r>
      <w:r>
        <w:t xml:space="preserve">With 3.2 million students in Caracas schools and only 17% using digital math tools, our Q1 growth proves massive untapped potential. Targeting the university segment (where we have 43% penetration) represents a $12M annual opportunity by 2025.</w:t>
      </w:r>
    </w:p>
    <w:bookmarkEnd w:id="27"/>
    <w:bookmarkStart w:id="28" w:name="conclusion-forward-looking-strategy"/>
    <w:p>
      <w:pPr>
        <w:pStyle w:val="Heading2"/>
      </w:pPr>
      <w:r>
        <w:t xml:space="preserve">Conclusion &amp; Forward-Looking Strategy</w:t>
      </w:r>
    </w:p>
    <w:p>
      <w:pPr>
        <w:pStyle w:val="FirstParagraph"/>
      </w:pPr>
      <w:r>
        <w:t xml:space="preserve">The "Mathematician" Sales Report for Venezuela Caracas demonstrates exceptional market leadership during a period of national economic turbulence. Our 37% year-over-year growth – exceeding regional averages by 19 percentage points – validates our localized approach. Crucially, this success stems from deeply understanding Caracas' unique educational needs rather than generic global strategies.</w:t>
      </w:r>
    </w:p>
    <w:p>
      <w:pPr>
        <w:pStyle w:val="BodyText"/>
      </w:pPr>
      <w:r>
        <w:t xml:space="preserve">As we move into Q2 2024, the focus shifts to sustainability through three pillars:</w:t>
      </w:r>
      <w:r>
        <w:t xml:space="preserve"> </w:t>
      </w:r>
      <w:r>
        <w:rPr>
          <w:iCs/>
          <w:i/>
        </w:rPr>
        <w:t xml:space="preserve">currency resilience</w:t>
      </w:r>
      <w:r>
        <w:t xml:space="preserve">,</w:t>
      </w:r>
      <w:r>
        <w:t xml:space="preserve"> </w:t>
      </w:r>
      <w:r>
        <w:rPr>
          <w:iCs/>
          <w:i/>
        </w:rPr>
        <w:t xml:space="preserve">infrastructure adaptation</w:t>
      </w:r>
      <w:r>
        <w:t xml:space="preserve">, and</w:t>
      </w:r>
      <w:r>
        <w:t xml:space="preserve"> </w:t>
      </w:r>
      <w:r>
        <w:rPr>
          <w:iCs/>
          <w:i/>
        </w:rPr>
        <w:t xml:space="preserve">community co-creation</w:t>
      </w:r>
      <w:r>
        <w:t xml:space="preserve">. We will launch "Mathematician Caracas Academy" – a certification program for Venezuelan educators – to deepen institutional relationships. This initiative directly addresses Venezuela's critical shortage of STEM teachers while creating recurring revenue streams.</w:t>
      </w:r>
    </w:p>
    <w:p>
      <w:pPr>
        <w:pStyle w:val="BodyText"/>
      </w:pPr>
      <w:r>
        <w:t xml:space="preserve">In conclusion, the "Mathematician" brand has transcended being merely an educational tool in Venezuela Caracas; it has become a symbol of intellectual resilience in our most economically challenged city. The sales data confirms that when solutions are designed for local realities – not just exported from foreign models – extraordinary growth is possible even in complex markets. We stand ready to scale this model across all 23 Venezuelan states while maintaining Caracas as our flagship operational hub.</w:t>
      </w:r>
    </w:p>
    <w:p>
      <w:pPr>
        <w:pStyle w:val="BodyText"/>
      </w:pPr>
      <w:r>
        <w:rPr>
          <w:bCs/>
          <w:b/>
        </w:rPr>
        <w:t xml:space="preserve">Next Quarter Priority:</w:t>
      </w:r>
      <w:r>
        <w:t xml:space="preserve"> </w:t>
      </w:r>
      <w:r>
        <w:t xml:space="preserve">Achieve 100% penetration of Caracas' top 50 universities (currently at 68%) and expand clinical mathematics services to Caracas public hospitals by Q3.</w:t>
      </w:r>
    </w:p>
    <w:bookmarkEnd w:id="28"/>
    <w:p>
      <w:pPr>
        <w:pStyle w:val="BodyText"/>
      </w:pPr>
      <w:r>
        <w:t xml:space="preserve">Prepared by the Sales Intelligence Team | Mathematician Global Solutions | Venezuela Regional Office, Caracas</w:t>
      </w:r>
      <w:r>
        <w:br/>
      </w:r>
      <w:r>
        <w:t xml:space="preserve">Date: April 15, 2024 | Confidential –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Caracas, Venezuela</dc:title>
  <dc:creator/>
  <dc:language>en</dc:language>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