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Berlin</w:t>
      </w:r>
      <w:r>
        <w:t xml:space="preserve"> </w:t>
      </w:r>
      <w:r>
        <w:t xml:space="preserve">Mechanic</w:t>
      </w:r>
      <w:r>
        <w:t xml:space="preserve"> </w:t>
      </w:r>
      <w:r>
        <w:t xml:space="preserve">Services</w:t>
      </w:r>
      <w:r>
        <w:t xml:space="preserve"> </w:t>
      </w:r>
      <w:r>
        <w:t xml:space="preserve">Performance</w:t>
      </w:r>
      <w:r>
        <w:t xml:space="preserve"> </w:t>
      </w:r>
      <w:r>
        <w:t xml:space="preserve">Analysis</w:t>
      </w:r>
    </w:p>
    <w:bookmarkStart w:id="27" w:name="Xc08d66060bacad0eedb9a629a085f8f1d2290f2"/>
    <w:p>
      <w:pPr>
        <w:pStyle w:val="Heading1"/>
      </w:pPr>
      <w:r>
        <w:t xml:space="preserve">Comprehensive Sales Report for Berlin Automotive Services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premier mechanic services operation in Germany Berlin. As one of the city's most trusted automotive service centers, we've achieved remarkable growth through strategic localization to Berlin's unique automotive landscape. This report examines key metrics across all service lines, market positioning within Germany's competitive repair ecosystem, and actionable recommendations for sustained success as a leading mechanic business in Europe's most dynamic metropolis.</w:t>
      </w:r>
    </w:p>
    <w:bookmarkEnd w:id="20"/>
    <w:bookmarkStart w:id="21" w:name="Xdf42b36ce94e448201570e673187674af84b20b"/>
    <w:p>
      <w:pPr>
        <w:pStyle w:val="Heading2"/>
      </w:pPr>
      <w:r>
        <w:t xml:space="preserve">Market Context: Berlin Automotive Dynamics</w:t>
      </w:r>
    </w:p>
    <w:p>
      <w:pPr>
        <w:pStyle w:val="FirstParagraph"/>
      </w:pPr>
      <w:r>
        <w:t xml:space="preserve">Operating within Germany Berlin demands specialized understanding of local vehicle trends. With over 50% of vehicles in the capital being electric or hybrid models (as per ADAC 2023 data), our service portfolio has strategically shifted to accommodate this evolution. The city's dense urban environment, strict emissions regulations under Germany's</w:t>
      </w:r>
      <w:r>
        <w:t xml:space="preserve"> </w:t>
      </w:r>
      <w:r>
        <w:rPr>
          <w:iCs/>
          <w:i/>
        </w:rPr>
        <w:t xml:space="preserve">Abgasrichtlinie</w:t>
      </w:r>
      <w:r>
        <w:t xml:space="preserve">, and high demand for affordable maintenance solutions position Berlin as both a challenge and opportunity for any mechanic business. This Sales Report confirms that our Berlin-based operations have outperformed regional averages by 18% through hyper-localized service adaptation.</w:t>
      </w:r>
    </w:p>
    <w:bookmarkEnd w:id="21"/>
    <w:bookmarkStart w:id="22" w:name="Xb7cd9a749f8cefc147eba9c58d5c547e1299cae"/>
    <w:p>
      <w:pPr>
        <w:pStyle w:val="Heading2"/>
      </w:pPr>
      <w:r>
        <w:t xml:space="preserve">Quarterly Sales Performance Overview (Q3 2023)</w:t>
      </w:r>
    </w:p>
    <w:p>
      <w:pPr>
        <w:pStyle w:val="FirstParagraph"/>
      </w:pPr>
      <w:r>
        <w:t xml:space="preserve">Service Category</w:t>
      </w:r>
    </w:p>
    <w:p>
      <w:pPr>
        <w:pStyle w:val="BodyText"/>
      </w:pPr>
      <w:r>
        <w:t xml:space="preserve">Q3 Revenue (€)</w:t>
      </w:r>
    </w:p>
    <w:p>
      <w:pPr>
        <w:pStyle w:val="BodyText"/>
      </w:pPr>
      <w:r>
        <w:t xml:space="preserve">YoY Growth</w:t>
      </w:r>
    </w:p>
    <w:p>
      <w:pPr>
        <w:pStyle w:val="BodyText"/>
      </w:pPr>
      <w:r>
        <w:t xml:space="preserve">% of Total Sales</w:t>
      </w:r>
    </w:p>
    <w:p>
      <w:pPr>
        <w:pStyle w:val="BodyText"/>
      </w:pPr>
      <w:r>
        <w:t xml:space="preserve">Routine Maintenance (Oil, Filters)</w:t>
      </w:r>
    </w:p>
    <w:p>
      <w:pPr>
        <w:pStyle w:val="BodyText"/>
      </w:pPr>
      <w:r>
        <w:t xml:space="preserve">124,500</w:t>
      </w:r>
    </w:p>
    <w:p>
      <w:pPr>
        <w:pStyle w:val="BodyText"/>
      </w:pPr>
      <w:r>
        <w:t xml:space="preserve">+12.3%</w:t>
      </w:r>
    </w:p>
    <w:p>
      <w:pPr>
        <w:pStyle w:val="BodyText"/>
      </w:pPr>
      <w:r>
        <w:t xml:space="preserve">38.7%</w:t>
      </w:r>
    </w:p>
    <w:p>
      <w:pPr>
        <w:pStyle w:val="BodyText"/>
      </w:pPr>
      <w:r>
        <w:t xml:space="preserve">Electric Vehicle Servicing</w:t>
      </w:r>
    </w:p>
    <w:p>
      <w:pPr>
        <w:pStyle w:val="BodyText"/>
      </w:pPr>
      <w:r>
        <w:t xml:space="preserve">86,200</w:t>
      </w:r>
    </w:p>
    <w:p>
      <w:pPr>
        <w:pStyle w:val="BodyText"/>
      </w:pPr>
      <w:r>
        <w:t xml:space="preserve">+41.5%</w:t>
      </w:r>
    </w:p>
    <w:p>
      <w:pPr>
        <w:pStyle w:val="BodyText"/>
      </w:pPr>
      <w:r>
        <w:t xml:space="preserve">26.8%</w:t>
      </w:r>
    </w:p>
    <w:p>
      <w:pPr>
        <w:pStyle w:val="BodyText"/>
      </w:pPr>
      <w:r>
        <w:t xml:space="preserve">Battery &amp; Charging System Repairs</w:t>
      </w:r>
    </w:p>
    <w:p>
      <w:pPr>
        <w:pStyle w:val="BodyText"/>
      </w:pPr>
      <w:r>
        <w:t xml:space="preserve">47,800</w:t>
      </w:r>
    </w:p>
    <w:p>
      <w:pPr>
        <w:pStyle w:val="BodyText"/>
      </w:pPr>
      <w:r>
        <w:t xml:space="preserve">+67.2%</w:t>
      </w:r>
    </w:p>
    <w:p>
      <w:pPr>
        <w:pStyle w:val="BodyText"/>
      </w:pPr>
      <w:r>
        <w:t xml:space="preserve">14.9%</w:t>
      </w:r>
    </w:p>
    <w:p>
      <w:pPr>
        <w:pStyle w:val="BodyText"/>
      </w:pPr>
      <w:r>
        <w:t xml:space="preserve">Standard Repairs (Brakes, Suspension)</w:t>
      </w:r>
    </w:p>
    <w:p>
      <w:pPr>
        <w:pStyle w:val="BodyText"/>
      </w:pPr>
      <w:r>
        <w:t xml:space="preserve">52,300</w:t>
      </w:r>
    </w:p>
    <w:p>
      <w:pPr>
        <w:pStyle w:val="BodyText"/>
      </w:pPr>
      <w:r>
        <w:t xml:space="preserve">+7.8%</w:t>
      </w:r>
    </w:p>
    <w:p>
      <w:pPr>
        <w:pStyle w:val="BodyText"/>
      </w:pPr>
      <w:r>
        <w:t xml:space="preserve">16.3%</w:t>
      </w:r>
    </w:p>
    <w:p>
      <w:pPr>
        <w:pStyle w:val="BodyText"/>
      </w:pPr>
      <w:r>
        <w:rPr>
          <w:iCs/>
          <w:i/>
        </w:rPr>
        <w:t xml:space="preserve">Total Revenue</w:t>
      </w:r>
    </w:p>
    <w:p>
      <w:pPr>
        <w:pStyle w:val="BodyText"/>
      </w:pPr>
      <w:r>
        <w:rPr>
          <w:iCs/>
          <w:i/>
        </w:rPr>
        <w:t xml:space="preserve">310,800</w:t>
      </w:r>
    </w:p>
    <w:p>
      <w:pPr>
        <w:pStyle w:val="BodyText"/>
      </w:pPr>
      <w:r>
        <w:rPr>
          <w:iCs/>
          <w:i/>
        </w:rPr>
        <w:t xml:space="preserve">+24.1%</w:t>
      </w:r>
    </w:p>
    <w:p>
      <w:pPr>
        <w:pStyle w:val="BodyText"/>
      </w:pPr>
      <w:r>
        <w:rPr>
          <w:iCs/>
          <w:i/>
        </w:rPr>
        <w:t xml:space="preserve">100%</w:t>
      </w:r>
    </w:p>
    <w:p>
      <w:pPr>
        <w:pStyle w:val="BodyText"/>
      </w:pPr>
      <w:r>
        <w:t xml:space="preserve">The Berlin mechanic business model has demonstrated exceptional resilience through targeted service expansion. Notably, electric vehicle servicing now represents nearly a quarter of total revenue – a direct response to Berlin's aggressive adoption of EV infrastructure (23 new charging stations installed monthly in 2023). Our sales team reported that 76% of new customers in Q3 specifically sought out our certified</w:t>
      </w:r>
      <w:r>
        <w:t xml:space="preserve"> </w:t>
      </w:r>
      <w:r>
        <w:rPr>
          <w:iCs/>
          <w:i/>
        </w:rPr>
        <w:t xml:space="preserve">EV mechanic</w:t>
      </w:r>
      <w:r>
        <w:t xml:space="preserve"> </w:t>
      </w:r>
      <w:r>
        <w:t xml:space="preserve">credentials, highlighting the strategic importance of specialized expertise in Germany's evolving market.</w:t>
      </w:r>
    </w:p>
    <w:bookmarkEnd w:id="22"/>
    <w:bookmarkStart w:id="23" w:name="key-success-factors-in-berlin"/>
    <w:p>
      <w:pPr>
        <w:pStyle w:val="Heading2"/>
      </w:pPr>
      <w:r>
        <w:t xml:space="preserve">Key Success Factors in Berlin</w:t>
      </w:r>
    </w:p>
    <w:p>
      <w:pPr>
        <w:numPr>
          <w:ilvl w:val="0"/>
          <w:numId w:val="1001"/>
        </w:numPr>
        <w:pStyle w:val="Compact"/>
      </w:pPr>
      <w:r>
        <w:rPr>
          <w:bCs/>
          <w:b/>
        </w:rPr>
        <w:t xml:space="preserve">Localization Strategy:</w:t>
      </w:r>
      <w:r>
        <w:t xml:space="preserve"> </w:t>
      </w:r>
      <w:r>
        <w:t xml:space="preserve">We developed a neighborhood-specific marketing approach targeting Berlin districts with high EV adoption (Friedrichshain, Neukölln) through partnerships with local co-working spaces and bike-sharing programs.</w:t>
      </w:r>
    </w:p>
    <w:p>
      <w:pPr>
        <w:numPr>
          <w:ilvl w:val="0"/>
          <w:numId w:val="1001"/>
        </w:numPr>
        <w:pStyle w:val="Compact"/>
      </w:pPr>
      <w:r>
        <w:rPr>
          <w:bCs/>
          <w:b/>
        </w:rPr>
        <w:t xml:space="preserve">Regulatory Compliance:</w:t>
      </w:r>
      <w:r>
        <w:t xml:space="preserve"> </w:t>
      </w:r>
      <w:r>
        <w:t xml:space="preserve">Full certification under Germany's</w:t>
      </w:r>
      <w:r>
        <w:t xml:space="preserve"> </w:t>
      </w:r>
      <w:r>
        <w:rPr>
          <w:iCs/>
          <w:i/>
        </w:rPr>
        <w:t xml:space="preserve">Kfz-Techniker</w:t>
      </w:r>
      <w:r>
        <w:t xml:space="preserve"> </w:t>
      </w:r>
      <w:r>
        <w:t xml:space="preserve">standards has been critical in securing contracts with Berlin municipal fleets, representing 14% of Q3 revenue.</w:t>
      </w:r>
    </w:p>
    <w:p>
      <w:pPr>
        <w:numPr>
          <w:ilvl w:val="0"/>
          <w:numId w:val="1001"/>
        </w:numPr>
        <w:pStyle w:val="Compact"/>
      </w:pPr>
      <w:r>
        <w:rPr>
          <w:bCs/>
          <w:b/>
        </w:rPr>
        <w:t xml:space="preserve">Pricing Transparency:</w:t>
      </w:r>
      <w:r>
        <w:t xml:space="preserve"> </w:t>
      </w:r>
      <w:r>
        <w:t xml:space="preserve">Our digital pricing portal – available in German and English – eliminated customer hesitation, increasing first-time conversions by 32% compared to regional competitors.</w:t>
      </w:r>
    </w:p>
    <w:p>
      <w:pPr>
        <w:numPr>
          <w:ilvl w:val="0"/>
          <w:numId w:val="1001"/>
        </w:numPr>
        <w:pStyle w:val="Compact"/>
      </w:pPr>
      <w:r>
        <w:rPr>
          <w:bCs/>
          <w:b/>
        </w:rPr>
        <w:t xml:space="preserve">Sustainability Focus:</w:t>
      </w:r>
      <w:r>
        <w:t xml:space="preserve"> </w:t>
      </w:r>
      <w:r>
        <w:t xml:space="preserve">Berlin customers prioritize eco-friendly services, driving our adoption of recycled parts inventory (now 65% of stock), directly boosting sales through brand alignment with local values.</w:t>
      </w:r>
    </w:p>
    <w:bookmarkEnd w:id="23"/>
    <w:bookmarkStart w:id="24" w:name="berlin-specific-challenges-solutions"/>
    <w:p>
      <w:pPr>
        <w:pStyle w:val="Heading2"/>
      </w:pPr>
      <w:r>
        <w:t xml:space="preserve">Berlin-Specific Challenges &amp; Solutions</w:t>
      </w:r>
    </w:p>
    <w:p>
      <w:pPr>
        <w:pStyle w:val="FirstParagraph"/>
      </w:pPr>
      <w:r>
        <w:t xml:space="preserve">Operating a mechanic business in Germany Berlin presents unique hurdles. Our Sales Report identifies these critical challenges and our mitigation strategies:</w:t>
      </w:r>
    </w:p>
    <w:p>
      <w:pPr>
        <w:numPr>
          <w:ilvl w:val="0"/>
          <w:numId w:val="1002"/>
        </w:numPr>
        <w:pStyle w:val="Compact"/>
      </w:pPr>
      <w:r>
        <w:rPr>
          <w:bCs/>
          <w:b/>
        </w:rPr>
        <w:t xml:space="preserve">Parts Supply Chain Delays:</w:t>
      </w:r>
      <w:r>
        <w:t xml:space="preserve"> </w:t>
      </w:r>
      <w:r>
        <w:t xml:space="preserve">Berlin's import dependency caused 17% of repair delays in Q2. Solution: Partnered with local Berlin supplier "AutoTeileBerlin" for emergency EV component inventory, reducing wait times by 58%.</w:t>
      </w:r>
    </w:p>
    <w:p>
      <w:pPr>
        <w:numPr>
          <w:ilvl w:val="0"/>
          <w:numId w:val="1002"/>
        </w:numPr>
        <w:pStyle w:val="Compact"/>
      </w:pPr>
      <w:r>
        <w:rPr>
          <w:bCs/>
          <w:b/>
        </w:rPr>
        <w:t xml:space="preserve">Competition Pressure:</w:t>
      </w:r>
      <w:r>
        <w:t xml:space="preserve"> </w:t>
      </w:r>
      <w:r>
        <w:t xml:space="preserve">New chain mechanics entered Berlin market, offering price discounts. Countermeasure: Implemented our "Berlin Resident Loyalty Program" (15% off for residents with Berlin ID), securing 43% customer retention despite competitor promotions.</w:t>
      </w:r>
    </w:p>
    <w:p>
      <w:pPr>
        <w:numPr>
          <w:ilvl w:val="0"/>
          <w:numId w:val="1002"/>
        </w:numPr>
        <w:pStyle w:val="Compact"/>
      </w:pPr>
      <w:r>
        <w:rPr>
          <w:bCs/>
          <w:b/>
        </w:rPr>
        <w:t xml:space="preserve">Regulatory Complexity:</w:t>
      </w:r>
      <w:r>
        <w:t xml:space="preserve"> </w:t>
      </w:r>
      <w:r>
        <w:t xml:space="preserve">Germany's</w:t>
      </w:r>
      <w:r>
        <w:t xml:space="preserve"> </w:t>
      </w:r>
      <w:r>
        <w:rPr>
          <w:iCs/>
          <w:i/>
        </w:rPr>
        <w:t xml:space="preserve">Vergütungsverordnung</w:t>
      </w:r>
      <w:r>
        <w:t xml:space="preserve"> </w:t>
      </w:r>
      <w:r>
        <w:t xml:space="preserve">requires detailed service documentation. Solution: Integrated digital compliance software, cutting administrative time by 70% and preventing $12K in potential fines during Q3 audits.</w:t>
      </w:r>
    </w:p>
    <w:bookmarkEnd w:id="24"/>
    <w:bookmarkStart w:id="25" w:name="X74e63931ad87f5e319cff9f3ed03b3bd8758e30"/>
    <w:p>
      <w:pPr>
        <w:pStyle w:val="Heading2"/>
      </w:pPr>
      <w:r>
        <w:t xml:space="preserve">Strategic Recommendations for Berlin Market Dominance</w:t>
      </w:r>
    </w:p>
    <w:p>
      <w:pPr>
        <w:pStyle w:val="FirstParagraph"/>
      </w:pPr>
      <w:r>
        <w:t xml:space="preserve">Based on this Sales Report analysis, we recommend three priority actions to solidify our position as Berlin's leading mechanic business:</w:t>
      </w:r>
    </w:p>
    <w:p>
      <w:pPr>
        <w:numPr>
          <w:ilvl w:val="0"/>
          <w:numId w:val="1003"/>
        </w:numPr>
        <w:pStyle w:val="Compact"/>
      </w:pPr>
      <w:r>
        <w:rPr>
          <w:bCs/>
          <w:b/>
        </w:rPr>
        <w:t xml:space="preserve">Expand EV Specialist Team:</w:t>
      </w:r>
      <w:r>
        <w:t xml:space="preserve"> </w:t>
      </w:r>
      <w:r>
        <w:t xml:space="preserve">Allocate €45,000 to certify two additional mechanics in Berlin-specific EV systems (BMW i-series and Mercedes-EQ). This addresses the 29% annual demand surge for specialized services.</w:t>
      </w:r>
    </w:p>
    <w:p>
      <w:pPr>
        <w:numPr>
          <w:ilvl w:val="0"/>
          <w:numId w:val="1003"/>
        </w:numPr>
        <w:pStyle w:val="Compact"/>
      </w:pPr>
      <w:r>
        <w:rPr>
          <w:bCs/>
          <w:b/>
        </w:rPr>
        <w:t xml:space="preserve">Develop Berlin Community Hub:</w:t>
      </w:r>
      <w:r>
        <w:t xml:space="preserve"> </w:t>
      </w:r>
      <w:r>
        <w:t xml:space="preserve">Transform our main location into a neighborhood service center offering free EV range check consultations, directly targeting Berlin's urban mobility culture.</w:t>
      </w:r>
    </w:p>
    <w:p>
      <w:pPr>
        <w:numPr>
          <w:ilvl w:val="0"/>
          <w:numId w:val="1003"/>
        </w:numPr>
        <w:pStyle w:val="Compact"/>
      </w:pPr>
      <w:r>
        <w:rPr>
          <w:bCs/>
          <w:b/>
        </w:rPr>
        <w:t xml:space="preserve">Leverage German Government Incentives:</w:t>
      </w:r>
      <w:r>
        <w:t xml:space="preserve"> </w:t>
      </w:r>
      <w:r>
        <w:t xml:space="preserve">Apply for the Federal Ministry of Transport's "Green Mobility Grant" (up to €20K) to fund solar-powered workshop equipment – aligning with Berlin's 2030 climate goals and enhancing brand reputation.</w:t>
      </w:r>
    </w:p>
    <w:bookmarkEnd w:id="25"/>
    <w:bookmarkStart w:id="26" w:name="conclusion-the-berlin-mechanic-advantage"/>
    <w:p>
      <w:pPr>
        <w:pStyle w:val="Heading2"/>
      </w:pPr>
      <w:r>
        <w:t xml:space="preserve">Conclusion: The Berlin Mechanic Advantage</w:t>
      </w:r>
    </w:p>
    <w:p>
      <w:pPr>
        <w:pStyle w:val="FirstParagraph"/>
      </w:pPr>
      <w:r>
        <w:t xml:space="preserve">This Sales Report unequivocally confirms that our mechanic business in Germany Berlin has mastered the local automotive ecosystem. By prioritizing electric vehicle expertise, regulatory compliance, and community integration, we've transformed challenges into market leadership – as evidenced by our 24% YoY revenue growth amidst Berlin's competitive landscape. The data reveals a clear trajectory: businesses that deeply understand Berlin's unique mobility needs (not just Germany's general standards) will dominate this critical urban market.</w:t>
      </w:r>
    </w:p>
    <w:p>
      <w:pPr>
        <w:pStyle w:val="BodyText"/>
      </w:pPr>
      <w:r>
        <w:t xml:space="preserve">As the capital city accelerates toward its 2035 zero-emission target, our commitment to evolving as Berlin's most responsive mechanic partner positions us for sustained growth. We project a 31% revenue increase in Q4 2023 through these strategic initiatives. This Sales Report serves as both a performance assessment and roadmap – proving that success in Germany Berlin requires more than technical skill; it demands cultural intelligence applied to every service interaction.</w:t>
      </w:r>
    </w:p>
    <w:p>
      <w:pPr>
        <w:pStyle w:val="BodyText"/>
      </w:pPr>
      <w:r>
        <w:t xml:space="preserve">Prepared by:</w:t>
      </w:r>
      <w:r>
        <w:br/>
      </w:r>
      <w:r>
        <w:t xml:space="preserve">Berlin Automotive Services Strategic Analysis Team</w:t>
      </w:r>
      <w:r>
        <w:br/>
      </w:r>
      <w:r>
        <w:t xml:space="preserve">Germany Berlin Headquarters</w:t>
      </w:r>
      <w:r>
        <w:br/>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Berlin Mechanic Services Performance Analysis</dc:title>
  <dc:creator/>
  <dc:language>en</dc:language>
  <cp:keywords/>
  <dcterms:created xsi:type="dcterms:W3CDTF">2026-07-23T01:25:46Z</dcterms:created>
  <dcterms:modified xsi:type="dcterms:W3CDTF">2026-07-23T01:25:46Z</dcterms:modified>
</cp:coreProperties>
</file>

<file path=docProps/custom.xml><?xml version="1.0" encoding="utf-8"?>
<Properties xmlns="http://schemas.openxmlformats.org/officeDocument/2006/custom-properties" xmlns:vt="http://schemas.openxmlformats.org/officeDocument/2006/docPropsVTypes"/>
</file>