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Colombia</w:t>
      </w:r>
      <w:r>
        <w:t xml:space="preserve"> </w:t>
      </w:r>
      <w:r>
        <w:t xml:space="preserve">Bogotá</w:t>
      </w:r>
      <w:r>
        <w:t xml:space="preserve"> </w:t>
      </w:r>
      <w:r>
        <w:t xml:space="preserve">Market</w:t>
      </w:r>
    </w:p>
    <w:bookmarkStart w:id="26" w:name="X47329f9299b56952d2e3a0ea4f90223e1f4f84c"/>
    <w:p>
      <w:pPr>
        <w:pStyle w:val="Heading1"/>
      </w:pPr>
      <w:r>
        <w:t xml:space="preserve">Sales Report: Mechanical Engineering Services in Colombia Bogotá Market (Q3 2023)</w:t>
      </w:r>
    </w:p>
    <w:p>
      <w:pPr>
        <w:pStyle w:val="FirstParagraph"/>
      </w:pPr>
      <w:r>
        <w:rPr>
          <w:bCs/>
          <w:b/>
        </w:rPr>
        <w:t xml:space="preserve">Prepared For:</w:t>
      </w:r>
      <w:r>
        <w:t xml:space="preserve"> </w:t>
      </w:r>
      <w:r>
        <w:t xml:space="preserve">Executive Leadership, Global Solutions Engineering Group</w:t>
      </w:r>
      <w:r>
        <w:br/>
      </w:r>
      <w:r>
        <w:rPr>
          <w:bCs/>
          <w:b/>
        </w:rPr>
        <w:t xml:space="preserve">Date:</w:t>
      </w:r>
      <w:r>
        <w:t xml:space="preserve"> </w:t>
      </w:r>
      <w:r>
        <w:t xml:space="preserve">October 26, 2023</w:t>
      </w:r>
      <w:r>
        <w:br/>
      </w:r>
      <w:r>
        <w:rPr>
          <w:bCs/>
          <w:b/>
        </w:rPr>
        <w:t xml:space="preserve">Prepared By:</w:t>
      </w:r>
      <w:r>
        <w:t xml:space="preserve"> </w:t>
      </w:r>
      <w:r>
        <w:t xml:space="preserve">Regional Sales Intelligence Unit - Colombia Bogotá Office</w:t>
      </w:r>
    </w:p>
    <w:bookmarkStart w:id="20" w:name="i.-executive-summary"/>
    <w:p>
      <w:pPr>
        <w:pStyle w:val="Heading2"/>
      </w:pPr>
      <w:r>
        <w:t xml:space="preserve">I. Executive Summary</w:t>
      </w:r>
    </w:p>
    <w:p>
      <w:pPr>
        <w:pStyle w:val="FirstParagraph"/>
      </w:pPr>
      <w:r>
        <w:t xml:space="preserve">The Q3 2023 Sales Report for Mechanical Engineering Services in the Colombia Bogotá market demonstrates robust performance, reflecting strategic alignment with regional infrastructure expansion and industrial modernization initiatives. This report details key sales achievements, market dynamics, client acquisition metrics, and forward-looking opportunities specifically within the Bogotá metropolitan area. As Colombia's economic hub driving 25% of national GDP and home to over 8 million residents, Bogotá represents a critical frontier for Mechanical Engineering service providers seeking sustainable growth. Our firm achieved a 17.3% year-over-year sales increase in this segment, significantly outperforming the regional engineering services sector average of 9.8%, solidifying our position as the preferred Mechanical Engineering partner for complex industrial and municipal projects across Colombia Bogotá.</w:t>
      </w:r>
    </w:p>
    <w:bookmarkEnd w:id="20"/>
    <w:bookmarkStart w:id="21" w:name="Xea5f31614b1094a192484e7d81eeaca8b9cc1aa"/>
    <w:p>
      <w:pPr>
        <w:pStyle w:val="Heading2"/>
      </w:pPr>
      <w:r>
        <w:t xml:space="preserve">II. Market Context: Colombia Bogotá Engineering Landscape</w:t>
      </w:r>
    </w:p>
    <w:p>
      <w:pPr>
        <w:pStyle w:val="FirstParagraph"/>
      </w:pPr>
      <w:r>
        <w:t xml:space="preserve">Bogotá's rapidly evolving urban infrastructure, coupled with aggressive government investment in sustainable development (as outlined in the National Development Plan 2023-2026), has created unprecedented demand for specialized Mechanical Engineering expertise. Key growth drivers include:</w:t>
      </w:r>
    </w:p>
    <w:p>
      <w:pPr>
        <w:numPr>
          <w:ilvl w:val="0"/>
          <w:numId w:val="1001"/>
        </w:numPr>
        <w:pStyle w:val="Compact"/>
      </w:pPr>
      <w:r>
        <w:rPr>
          <w:bCs/>
          <w:b/>
        </w:rPr>
        <w:t xml:space="preserve">Urban Mobility Projects:</w:t>
      </w:r>
      <w:r>
        <w:t xml:space="preserve"> </w:t>
      </w:r>
      <w:r>
        <w:t xml:space="preserve">Expansion of the TransMilenio system, new Metro Line 1 extensions (including Bogotá's first underground metro segment), and dedicated bike lanes requiring sophisticated mechanical systems design.</w:t>
      </w:r>
    </w:p>
    <w:p>
      <w:pPr>
        <w:numPr>
          <w:ilvl w:val="0"/>
          <w:numId w:val="1001"/>
        </w:numPr>
        <w:pStyle w:val="Compact"/>
      </w:pPr>
      <w:r>
        <w:rPr>
          <w:bCs/>
          <w:b/>
        </w:rPr>
        <w:t xml:space="preserve">Industrial Modernization:</w:t>
      </w:r>
      <w:r>
        <w:t xml:space="preserve"> </w:t>
      </w:r>
      <w:r>
        <w:t xml:space="preserve">Manufacturing hubs in the Eastern Metropolitan Corridor (e.g., Soacha, Facatativá) demanding efficiency upgrades for HVAC, material handling, and process machinery.</w:t>
      </w:r>
    </w:p>
    <w:p>
      <w:pPr>
        <w:numPr>
          <w:ilvl w:val="0"/>
          <w:numId w:val="1001"/>
        </w:numPr>
        <w:pStyle w:val="Compact"/>
      </w:pPr>
      <w:r>
        <w:rPr>
          <w:bCs/>
          <w:b/>
        </w:rPr>
        <w:t xml:space="preserve">Sustainability Mandates:</w:t>
      </w:r>
      <w:r>
        <w:t xml:space="preserve"> </w:t>
      </w:r>
      <w:r>
        <w:t xml:space="preserve">Mandatory energy audits and renewable integration (solar thermal systems for commercial buildings) under Colombia's 2023 Environmental Compliance Regulations.</w:t>
      </w:r>
    </w:p>
    <w:p>
      <w:pPr>
        <w:numPr>
          <w:ilvl w:val="0"/>
          <w:numId w:val="1001"/>
        </w:numPr>
        <w:pStyle w:val="Compact"/>
      </w:pPr>
      <w:r>
        <w:rPr>
          <w:bCs/>
          <w:b/>
        </w:rPr>
        <w:t xml:space="preserve">Healthcare Infrastructure:</w:t>
      </w:r>
      <w:r>
        <w:t xml:space="preserve"> </w:t>
      </w:r>
      <w:r>
        <w:t xml:space="preserve">Expansion of major hospitals like Clinica Las Américas and Fundación Santa Fe, requiring advanced mechanical systems for clean rooms and critical care facilities.</w:t>
      </w:r>
    </w:p>
    <w:p>
      <w:pPr>
        <w:pStyle w:val="FirstParagraph"/>
      </w:pPr>
      <w:r>
        <w:t xml:space="preserve">This ecosystem directly fuels demand for high-value Mechanical Engineering solutions, particularly in Bogotá where 68% of Colombia's engineering service contracts originate. Our sales strategy has been laser-focused on aligning with these priorities, resulting in a 22% increase in qualified leads specifically tied to Bogotá-based projects.</w:t>
      </w:r>
    </w:p>
    <w:bookmarkEnd w:id="21"/>
    <w:bookmarkStart w:id="22" w:name="X4477e9030a697aa9f4082fac72cb0a606e9e56f"/>
    <w:p>
      <w:pPr>
        <w:pStyle w:val="Heading2"/>
      </w:pPr>
      <w:r>
        <w:t xml:space="preserve">III. Q3 Sales Performance Highlights (Colombia Bogotá Focus)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Mechanical Engineering Service Sales (USD)</w:t>
      </w:r>
    </w:p>
    <w:p>
      <w:pPr>
        <w:pStyle w:val="BodyText"/>
      </w:pPr>
      <w:r>
        <w:t xml:space="preserve">$1,845,000</w:t>
      </w:r>
    </w:p>
    <w:p>
      <w:pPr>
        <w:pStyle w:val="BodyText"/>
      </w:pPr>
      <w:r>
        <w:t xml:space="preserve">$1,573,000</w:t>
      </w:r>
    </w:p>
    <w:p>
      <w:pPr>
        <w:pStyle w:val="BodyText"/>
      </w:pPr>
      <w:r>
        <w:t xml:space="preserve">+17.3%</w:t>
      </w:r>
    </w:p>
    <w:p>
      <w:pPr>
        <w:pStyle w:val="BodyText"/>
      </w:pPr>
      <w:r>
        <w:t xml:space="preserve">New Client Acquisitions (Bogotá-based)</w:t>
      </w:r>
    </w:p>
    <w:p>
      <w:pPr>
        <w:pStyle w:val="BodyText"/>
      </w:pPr>
      <w:r>
        <w:t xml:space="preserve">28</w:t>
      </w:r>
    </w:p>
    <w:p>
      <w:pPr>
        <w:pStyle w:val="BodyText"/>
      </w:pPr>
      <w:r>
        <w:t xml:space="preserve">21</w:t>
      </w:r>
    </w:p>
    <w:p>
      <w:pPr>
        <w:pStyle w:val="BodyText"/>
      </w:pPr>
      <w:r>
        <w:t xml:space="preserve">+33.3%</w:t>
      </w:r>
    </w:p>
    <w:p>
      <w:pPr>
        <w:pStyle w:val="BodyText"/>
      </w:pPr>
      <w:r>
        <w:t xml:space="preserve">Average Contract Value (ACV)</w:t>
      </w:r>
    </w:p>
    <w:p>
      <w:pPr>
        <w:pStyle w:val="BodyText"/>
      </w:pPr>
      <w:r>
        <w:t xml:space="preserve">$65,900</w:t>
      </w:r>
    </w:p>
    <w:p>
      <w:pPr>
        <w:pStyle w:val="BodyText"/>
      </w:pPr>
      <w:r>
        <w:t xml:space="preserve">$57,800</w:t>
      </w:r>
    </w:p>
    <w:p>
      <w:pPr>
        <w:pStyle w:val="BodyText"/>
      </w:pPr>
      <w:r>
        <w:t xml:space="preserve">Project Win Rate (Bogotá RFPs)</w:t>
      </w:r>
    </w:p>
    <w:p>
      <w:pPr>
        <w:pStyle w:val="BodyText"/>
      </w:pPr>
      <w:r>
        <w:t xml:space="preserve">62%</w:t>
      </w:r>
    </w:p>
    <w:p>
      <w:pPr>
        <w:pStyle w:val="BodyText"/>
      </w:pPr>
      <w:r>
        <w:t xml:space="preserve">Notable Q3 wins include:</w:t>
      </w:r>
    </w:p>
    <w:p>
      <w:pPr>
        <w:numPr>
          <w:ilvl w:val="0"/>
          <w:numId w:val="1002"/>
        </w:numPr>
        <w:pStyle w:val="Compact"/>
      </w:pPr>
      <w:r>
        <w:t xml:space="preserve">A $425,000 contract with Bogotá's District Secretariat of Mobility to design and oversee mechanical systems for the new La Castellana Metro Station (Phase 2), featuring advanced ventilation and emergency evacuation protocols.</w:t>
      </w:r>
    </w:p>
    <w:p>
      <w:pPr>
        <w:numPr>
          <w:ilvl w:val="0"/>
          <w:numId w:val="1002"/>
        </w:numPr>
        <w:pStyle w:val="Compact"/>
      </w:pPr>
      <w:r>
        <w:t xml:space="preserve">A strategic partnership with SABMiller Colombia (Bogotá HQ) for comprehensive HVAC optimization across their three major breweries in the Eastern Corridor, targeting 28% energy reduction within 18 months.</w:t>
      </w:r>
    </w:p>
    <w:p>
      <w:pPr>
        <w:numPr>
          <w:ilvl w:val="0"/>
          <w:numId w:val="1002"/>
        </w:numPr>
        <w:pStyle w:val="Compact"/>
      </w:pPr>
      <w:r>
        <w:t xml:space="preserve">Completion of a $230,000 mechanical systems retrofit for the new University City Campus expansion at Universidad Nacional de Colombia (Bogotá), focusing on seismic resilience and sustainable cooling.</w:t>
      </w:r>
    </w:p>
    <w:bookmarkEnd w:id="22"/>
    <w:bookmarkStart w:id="23" w:name="X5b5c6dca9038cced8342f14dd276f2656176c0b"/>
    <w:p>
      <w:pPr>
        <w:pStyle w:val="Heading2"/>
      </w:pPr>
      <w:r>
        <w:t xml:space="preserve">IV. Key Challenges &amp; Strategic Response in Bogotá</w:t>
      </w:r>
    </w:p>
    <w:p>
      <w:pPr>
        <w:pStyle w:val="FirstParagraph"/>
      </w:pPr>
      <w:r>
        <w:t xml:space="preserve">The Colombia Bogotá market presents unique operational challenges that directly impact Mechanical Engineering service delivery and sales cycles:</w:t>
      </w:r>
    </w:p>
    <w:p>
      <w:pPr>
        <w:numPr>
          <w:ilvl w:val="0"/>
          <w:numId w:val="1003"/>
        </w:numPr>
        <w:pStyle w:val="Compact"/>
      </w:pPr>
      <w:r>
        <w:rPr>
          <w:bCs/>
          <w:b/>
        </w:rPr>
        <w:t xml:space="preserve">Regulatory Complexity:</w:t>
      </w:r>
      <w:r>
        <w:t xml:space="preserve"> </w:t>
      </w:r>
      <w:r>
        <w:t xml:space="preserve">Navigating the SIC (Superintendencia de Industria y Comercio) requirements for engineering firms in Bogotá's public procurement process. *Our response:* Dedicated compliance officer embedded within the Bogotá sales team, reducing proposal submission time by 35%.</w:t>
      </w:r>
    </w:p>
    <w:p>
      <w:pPr>
        <w:numPr>
          <w:ilvl w:val="0"/>
          <w:numId w:val="1003"/>
        </w:numPr>
        <w:pStyle w:val="Compact"/>
      </w:pPr>
      <w:r>
        <w:rPr>
          <w:bCs/>
          <w:b/>
        </w:rPr>
        <w:t xml:space="preserve">High Competition:</w:t>
      </w:r>
      <w:r>
        <w:t xml:space="preserve"> </w:t>
      </w:r>
      <w:r>
        <w:t xml:space="preserve">Intense rivalry from local engineering firms and larger multinational consultancies. *Our response:* Differentiated focus on "Bogotá-specific solutions," leveraging deep knowledge of high-altitude engineering challenges (e.g., air density effects on HVAC performance) absent in generic proposals.</w:t>
      </w:r>
    </w:p>
    <w:p>
      <w:pPr>
        <w:numPr>
          <w:ilvl w:val="0"/>
          <w:numId w:val="1003"/>
        </w:numPr>
        <w:pStyle w:val="Compact"/>
      </w:pPr>
      <w:r>
        <w:rPr>
          <w:bCs/>
          <w:b/>
        </w:rPr>
        <w:t xml:space="preserve">Cultural Nuances:</w:t>
      </w:r>
      <w:r>
        <w:t xml:space="preserve"> </w:t>
      </w:r>
      <w:r>
        <w:t xml:space="preserve">Relationship-driven sales cycle common in Colombian business culture. *Our response:* Implemented bi-monthly client "technical breakfast" events at iconic Bogotá venues (e.g., El Chicó Park, Candelaria), fostering trust beyond transactional interactions.</w:t>
      </w:r>
    </w:p>
    <w:bookmarkEnd w:id="23"/>
    <w:bookmarkStart w:id="24" w:name="Xf43f78db9590d9828397498604d742d3d8ef348"/>
    <w:p>
      <w:pPr>
        <w:pStyle w:val="Heading2"/>
      </w:pPr>
      <w:r>
        <w:t xml:space="preserve">V. Market Insights &amp; Forward-Looking Strategy</w:t>
      </w:r>
    </w:p>
    <w:p>
      <w:pPr>
        <w:pStyle w:val="FirstParagraph"/>
      </w:pPr>
      <w:r>
        <w:t xml:space="preserve">Analysis of the Colombia Bogotá market indicates three critical trends for Mechanical Engineering service growth:</w:t>
      </w:r>
    </w:p>
    <w:p>
      <w:pPr>
        <w:numPr>
          <w:ilvl w:val="0"/>
          <w:numId w:val="1004"/>
        </w:numPr>
        <w:pStyle w:val="Compact"/>
      </w:pPr>
      <w:r>
        <w:rPr>
          <w:bCs/>
          <w:b/>
        </w:rPr>
        <w:t xml:space="preserve">Energy Efficiency as Primary Driver:</w:t>
      </w:r>
      <w:r>
        <w:t xml:space="preserve"> </w:t>
      </w:r>
      <w:r>
        <w:t xml:space="preserve">78% of new RFPs now include mandatory energy savings targets. We will launch a dedicated "Bogotá Energy Optimization Suite" package by Q1 2024, bundling solar thermal integration and smart HVAC controls.</w:t>
      </w:r>
    </w:p>
    <w:p>
      <w:pPr>
        <w:numPr>
          <w:ilvl w:val="0"/>
          <w:numId w:val="1004"/>
        </w:numPr>
        <w:pStyle w:val="Compact"/>
      </w:pPr>
      <w:r>
        <w:rPr>
          <w:bCs/>
          <w:b/>
        </w:rPr>
        <w:t xml:space="preserve">Public-Private Partnerships (PPPs):</w:t>
      </w:r>
      <w:r>
        <w:t xml:space="preserve"> </w:t>
      </w:r>
      <w:r>
        <w:t xml:space="preserve">The government's new PPP framework for infrastructure is accelerating. Our sales team is prioritizing relationships with key Bogotá municipal departments (Transportation, Environment) to position our Mechanical Engineering expertise in upcoming 10-year master plans.</w:t>
      </w:r>
    </w:p>
    <w:p>
      <w:pPr>
        <w:numPr>
          <w:ilvl w:val="0"/>
          <w:numId w:val="1004"/>
        </w:numPr>
        <w:pStyle w:val="Compact"/>
      </w:pPr>
      <w:r>
        <w:rPr>
          <w:bCs/>
          <w:b/>
        </w:rPr>
        <w:t xml:space="preserve">Skills Gap Development:</w:t>
      </w:r>
      <w:r>
        <w:t xml:space="preserve"> </w:t>
      </w:r>
      <w:r>
        <w:t xml:space="preserve">High demand for local talent certified in modern mechanical systems. We are partnering with Universidad de los Andes and Escuela Colombiana de Ingeniería to establish a "Bogotá Mechanical Engineering Fellowship," directly addressing client needs while building future sales pipelines.</w:t>
      </w:r>
    </w:p>
    <w:bookmarkEnd w:id="24"/>
    <w:bookmarkStart w:id="25" w:name="vi.-conclusion-q4-outlook"/>
    <w:p>
      <w:pPr>
        <w:pStyle w:val="Heading2"/>
      </w:pPr>
      <w:r>
        <w:t xml:space="preserve">VI. Conclusion &amp; Q4 Outlook</w:t>
      </w:r>
    </w:p>
    <w:p>
      <w:pPr>
        <w:pStyle w:val="FirstParagraph"/>
      </w:pPr>
      <w:r>
        <w:t xml:space="preserve">The Colombia Bogotá market for Mechanical Engineering services is not merely growing—it is becoming the strategic epicenter of engineering innovation within Colombia. Our Q3 results validate the effectiveness of our hyper-localized sales approach, directly responding to Bogotá's unique infrastructure ambitions and regulatory environment. Moving into Q4 2023, we project a further 15-18% sales increase, driven by pipeline strength across municipal projects (including the Bogotá Water Authority's $12M treatment plant upgrade) and manufacturing sector expansion.</w:t>
      </w:r>
    </w:p>
    <w:p>
      <w:pPr>
        <w:pStyle w:val="BodyText"/>
      </w:pPr>
      <w:r>
        <w:t xml:space="preserve">As the premier provider of Mechanical Engineering solutions in Colombia Bogotá, our continued success hinges on deepening our community integration and technical specialization for this dynamic market. We recommend maintaining aggressive investment in Bogotá-specific talent acquisition and client engagement, ensuring we remain the undisputed leader in delivering transformative mechanical engineering outcomes across Colombia's most critical urban landscape. The future of engineering excellence in Colombia is being built in Bogotá—and our Sales Report confirms our central role in that transformation.</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Colombia Bogotá Market</dc:title>
  <dc:creator/>
  <dc:language>en</dc:language>
  <cp:keywords/>
  <dcterms:created xsi:type="dcterms:W3CDTF">2026-07-23T19:15:34Z</dcterms:created>
  <dcterms:modified xsi:type="dcterms:W3CDTF">2026-07-23T19:15:34Z</dcterms:modified>
</cp:coreProperties>
</file>

<file path=docProps/custom.xml><?xml version="1.0" encoding="utf-8"?>
<Properties xmlns="http://schemas.openxmlformats.org/officeDocument/2006/custom-properties" xmlns:vt="http://schemas.openxmlformats.org/officeDocument/2006/docPropsVTypes"/>
</file>