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Sales</w:t>
      </w:r>
      <w:r>
        <w:t xml:space="preserve"> </w:t>
      </w:r>
      <w:r>
        <w:t xml:space="preserve">Report:</w:t>
      </w:r>
      <w:r>
        <w:t xml:space="preserve"> </w:t>
      </w:r>
      <w:r>
        <w:t xml:space="preserve">China</w:t>
      </w:r>
      <w:r>
        <w:t xml:space="preserve"> </w:t>
      </w:r>
      <w:r>
        <w:t xml:space="preserve">Guangzhou</w:t>
      </w:r>
      <w:r>
        <w:t xml:space="preserve"> </w:t>
      </w:r>
      <w:r>
        <w:t xml:space="preserve">Market</w:t>
      </w:r>
      <w:r>
        <w:t xml:space="preserve"> </w:t>
      </w:r>
      <w:r>
        <w:t xml:space="preserve">Analysis</w:t>
      </w:r>
    </w:p>
    <w:bookmarkStart w:id="29" w:name="X8b98bf35ffd09f962ec23aa52c6903fea063298"/>
    <w:p>
      <w:pPr>
        <w:pStyle w:val="Heading1"/>
      </w:pPr>
      <w:r>
        <w:t xml:space="preserve">Sales Report: Strategic Expansion of Mechatronics Engineer Recruitment in China Guangzhou</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Engineering Solutions Leadership Team</w:t>
      </w:r>
      <w:r>
        <w:br/>
      </w:r>
      <w:r>
        <w:rPr>
          <w:bCs/>
          <w:b/>
        </w:rPr>
        <w:t xml:space="preserve">Prepared By:</w:t>
      </w:r>
      <w:r>
        <w:t xml:space="preserve"> </w:t>
      </w:r>
      <w:r>
        <w:t xml:space="preserve">Asia-Pacific Talent Acquisition Division</w:t>
      </w:r>
    </w:p>
    <w:bookmarkStart w:id="20" w:name="i.-executive-summary"/>
    <w:p>
      <w:pPr>
        <w:pStyle w:val="Heading2"/>
      </w:pPr>
      <w:r>
        <w:t xml:space="preserve">I. Executive Summary</w:t>
      </w:r>
    </w:p>
    <w:p>
      <w:pPr>
        <w:pStyle w:val="FirstParagraph"/>
      </w:pPr>
      <w:r>
        <w:t xml:space="preserve">This comprehensive Sales Report details the unprecedented demand for Mechatronics Engineers in China Guangzhou, positioning our company as a pivotal player in the region's manufacturing and automation revolution. The Guangzhou market has demonstrated a 47% year-over-year growth in Mechatronics Engineer recruitment needs, driven by industrial 4.0 adoption across automotive, robotics, and smart manufacturing sectors. Our strategic focus on this niche talent pool has yielded a 62% increase in successful placements since Q1 2023, significantly outpacing regional competitors. This report validates Guangzhou as the undisputed epicenter for Mechatronics Engineering talent acquisition in Southern China.</w:t>
      </w:r>
    </w:p>
    <w:bookmarkEnd w:id="20"/>
    <w:bookmarkStart w:id="21" w:name="X0b8e40a5ccb3776ec404c8327780e438a2e81db"/>
    <w:p>
      <w:pPr>
        <w:pStyle w:val="Heading2"/>
      </w:pPr>
      <w:r>
        <w:t xml:space="preserve">II. Market Context: Why Guangzhou Leads Mechatronics Innovation</w:t>
      </w:r>
    </w:p>
    <w:p>
      <w:pPr>
        <w:pStyle w:val="FirstParagraph"/>
      </w:pPr>
      <w:r>
        <w:t xml:space="preserve">China Guangzhou has emerged as the nation's manufacturing nerve center, hosting over 38% of China's industrial robot installations and 15 major automation R&amp;D hubs. The city's "Guangdong-Hong Kong-Macao Greater Bay Area" initiative explicitly prioritizes mechatronics as a core technology pillar. With government subsidies covering 50% of training costs for Mechatronics Engineering programs at institutions like South China University of Technology and Guangzhou University, talent supply is accelerating. Our Sales Report confirms that 78% of Fortune 500 manufacturing subsidiaries in Guangzhou now mandate Mechatronics Engineer roles in new facility deployments – a statistic directly tied to the city's strategic economic roadmap.</w:t>
      </w:r>
    </w:p>
    <w:bookmarkEnd w:id="21"/>
    <w:bookmarkStart w:id="22" w:name="X8a76a47d22d31be35635bc4c01ce582c0389406"/>
    <w:p>
      <w:pPr>
        <w:pStyle w:val="Heading2"/>
      </w:pPr>
      <w:r>
        <w:t xml:space="preserve">III. Quantitative Sales Performance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w:t>
            </w:r>
          </w:p>
        </w:tc>
        <w:tc>
          <w:tcPr/>
          <w:p>
            <w:pPr>
              <w:pStyle w:val="Compact"/>
              <w:jc w:val="left"/>
            </w:pPr>
            <w:r>
              <w:t xml:space="preserve">YoY Change</w:t>
            </w:r>
          </w:p>
        </w:tc>
        <w:tc>
          <w:tcPr/>
          <w:p>
            <w:pPr>
              <w:pStyle w:val="Compact"/>
              <w:jc w:val="left"/>
            </w:pPr>
            <w:r>
              <w:t xml:space="preserve">Market Share (Guangzhou)</w:t>
            </w:r>
          </w:p>
        </w:tc>
      </w:tr>
      <w:tr>
        <w:tc>
          <w:tcPr/>
          <w:p>
            <w:pPr>
              <w:pStyle w:val="Compact"/>
              <w:jc w:val="left"/>
            </w:pPr>
            <w:r>
              <w:t xml:space="preserve">Total Mechatronics Engineer Placements</w:t>
            </w:r>
          </w:p>
        </w:tc>
        <w:tc>
          <w:tcPr/>
          <w:p>
            <w:pPr>
              <w:pStyle w:val="Compact"/>
              <w:jc w:val="left"/>
            </w:pPr>
            <w:r>
              <w:t xml:space="preserve">147 roles</w:t>
            </w:r>
          </w:p>
        </w:tc>
        <w:tc>
          <w:tcPr/>
          <w:p>
            <w:pPr>
              <w:pStyle w:val="Compact"/>
              <w:jc w:val="left"/>
            </w:pPr>
            <w:r>
              <w:t xml:space="preserve">+62%</w:t>
            </w:r>
          </w:p>
        </w:tc>
        <w:tc>
          <w:tcPr/>
          <w:p>
            <w:pPr>
              <w:pStyle w:val="Compact"/>
              <w:jc w:val="left"/>
            </w:pPr>
            <w:r>
              <w:t xml:space="preserve">31% (vs. 24% in Q3 2022)</w:t>
            </w:r>
          </w:p>
        </w:tc>
      </w:tr>
      <w:tr>
        <w:tc>
          <w:tcPr/>
          <w:p>
            <w:pPr>
              <w:pStyle w:val="Compact"/>
              <w:jc w:val="left"/>
            </w:pPr>
            <w:r>
              <w:t xml:space="preserve">Average Client Retention Rate</w:t>
            </w:r>
          </w:p>
        </w:tc>
        <w:tc>
          <w:tcPr/>
          <w:p>
            <w:pPr>
              <w:pStyle w:val="Compact"/>
              <w:jc w:val="left"/>
            </w:pPr>
            <w:r>
              <w:t xml:space="preserve">94%</w:t>
            </w:r>
          </w:p>
        </w:tc>
        <w:tc>
          <w:tcPr/>
          <w:p>
            <w:pPr>
              <w:pStyle w:val="Compact"/>
              <w:jc w:val="left"/>
            </w:pPr>
            <w:r>
              <w:t xml:space="preserve">+18%</w:t>
            </w:r>
          </w:p>
        </w:tc>
        <w:tc>
          <w:tcPr/>
          <w:p>
            <w:pPr>
              <w:pStyle w:val="Compact"/>
              <w:jc w:val="left"/>
            </w:pPr>
            <w:r>
              <w:t xml:space="preserve">Industry average: 76%</w:t>
            </w:r>
          </w:p>
        </w:tc>
      </w:tr>
      <w:tr>
        <w:tc>
          <w:tcPr/>
          <w:p>
            <w:pPr>
              <w:pStyle w:val="Compact"/>
              <w:jc w:val="left"/>
            </w:pPr>
            <w:r>
              <w:t xml:space="preserve">Average Salary Package (CNY)</w:t>
            </w:r>
          </w:p>
        </w:tc>
        <w:tc>
          <w:tcPr/>
          <w:p>
            <w:pPr>
              <w:pStyle w:val="Compact"/>
              <w:jc w:val="left"/>
            </w:pPr>
            <w:r>
              <w:t xml:space="preserve">285,000</w:t>
            </w:r>
          </w:p>
        </w:tc>
        <w:tc>
          <w:tcPr/>
          <w:p>
            <w:pPr>
              <w:pStyle w:val="Compact"/>
              <w:jc w:val="left"/>
            </w:pPr>
            <w:r>
              <w:t xml:space="preserve">+15% (reflecting premium for AI-integration skills)</w:t>
            </w:r>
          </w:p>
        </w:tc>
        <w:tc>
          <w:tcPr/>
          <w:p>
            <w:pPr>
              <w:pStyle w:val="Compact"/>
              <w:jc w:val="left"/>
            </w:pPr>
            <w:r>
              <w:t xml:space="preserve">12% above national average</w:t>
            </w:r>
          </w:p>
        </w:tc>
      </w:tr>
      <w:tr>
        <w:tc>
          <w:tcPr/>
          <w:p>
            <w:pPr>
              <w:pStyle w:val="Compact"/>
              <w:jc w:val="left"/>
            </w:pPr>
            <w:r>
              <w:t xml:space="preserve">New Client Acquisition Rate</w:t>
            </w:r>
          </w:p>
        </w:tc>
        <w:tc>
          <w:tcPr/>
          <w:p>
            <w:pPr>
              <w:pStyle w:val="Compact"/>
              <w:jc w:val="left"/>
            </w:pPr>
            <w:r>
              <w:t xml:space="preserve">42 companies</w:t>
            </w:r>
          </w:p>
        </w:tc>
        <w:tc>
          <w:tcPr/>
          <w:p>
            <w:pPr>
              <w:pStyle w:val="Compact"/>
              <w:jc w:val="left"/>
            </w:pPr>
            <w:r>
              <w:t xml:space="preserve">+58%</w:t>
            </w:r>
          </w:p>
        </w:tc>
        <w:tc>
          <w:tcPr/>
          <w:p>
            <w:pPr>
              <w:pStyle w:val="Compact"/>
              <w:jc w:val="left"/>
            </w:pPr>
            <w:r>
              <w:t xml:space="preserve">Includes 8 Fortune 500 automotive manufacturers</w:t>
            </w:r>
          </w:p>
        </w:tc>
      </w:tr>
    </w:tbl>
    <w:p>
      <w:pPr>
        <w:pStyle w:val="BodyText"/>
      </w:pPr>
      <w:r>
        <w:t xml:space="preserve">Notable placements include:</w:t>
      </w:r>
    </w:p>
    <w:p>
      <w:pPr>
        <w:numPr>
          <w:ilvl w:val="0"/>
          <w:numId w:val="1001"/>
        </w:numPr>
        <w:pStyle w:val="Compact"/>
      </w:pPr>
      <w:r>
        <w:rPr>
          <w:bCs/>
          <w:b/>
        </w:rPr>
        <w:t xml:space="preserve">Guangzhou Automotive Group</w:t>
      </w:r>
      <w:r>
        <w:t xml:space="preserve">: Secured 12 senior Mechatronics Engineers for EV production line automation (completed in 45 days vs. industry average 90 days).</w:t>
      </w:r>
    </w:p>
    <w:p>
      <w:pPr>
        <w:numPr>
          <w:ilvl w:val="0"/>
          <w:numId w:val="1001"/>
        </w:numPr>
        <w:pStyle w:val="Compact"/>
      </w:pPr>
      <w:r>
        <w:rPr>
          <w:bCs/>
          <w:b/>
        </w:rPr>
        <w:t xml:space="preserve">ZTE Robotics Division</w:t>
      </w:r>
      <w:r>
        <w:t xml:space="preserve">: Delivered a specialized team with IoT integration expertise, accelerating their smart factory rollout by 3 months.</w:t>
      </w:r>
    </w:p>
    <w:p>
      <w:pPr>
        <w:numPr>
          <w:ilvl w:val="0"/>
          <w:numId w:val="1001"/>
        </w:numPr>
        <w:pStyle w:val="Compact"/>
      </w:pPr>
      <w:r>
        <w:rPr>
          <w:bCs/>
          <w:b/>
        </w:rPr>
        <w:t xml:space="preserve">Shenzhen-based AI Hardware Startup</w:t>
      </w:r>
      <w:r>
        <w:t xml:space="preserve">: Enabled Guangzhou R&amp;D center expansion through rapid sourcing of embedded systems specialists.</w:t>
      </w:r>
    </w:p>
    <w:bookmarkEnd w:id="22"/>
    <w:bookmarkStart w:id="26" w:name="Xbcdf9f3d0c0cb3c3f846d441d70fac211a18504"/>
    <w:p>
      <w:pPr>
        <w:pStyle w:val="Heading2"/>
      </w:pPr>
      <w:r>
        <w:t xml:space="preserve">IV. Key Demand Drivers in China Guangzhou</w:t>
      </w:r>
    </w:p>
    <w:p>
      <w:pPr>
        <w:pStyle w:val="FirstParagraph"/>
      </w:pPr>
      <w:r>
        <w:t xml:space="preserve">The Sales Report identifies three dominant market forces:</w:t>
      </w:r>
    </w:p>
    <w:bookmarkStart w:id="23" w:name="a.-industrial-policy-acceleration"/>
    <w:p>
      <w:pPr>
        <w:pStyle w:val="Heading3"/>
      </w:pPr>
      <w:r>
        <w:t xml:space="preserve">A. Industrial Policy Acceleration</w:t>
      </w:r>
    </w:p>
    <w:p>
      <w:pPr>
        <w:pStyle w:val="FirstParagraph"/>
      </w:pPr>
      <w:r>
        <w:t xml:space="preserve">Guangdong Province's "Advanced Manufacturing 2025" plan mandates automation adoption for all Tier-1 suppliers, creating immediate demand for Mechatronics Engineers proficient in PLC programming and servo systems. Our client base confirms that 90% of new manufacturing contracts now require mechatronics-certified teams.</w:t>
      </w:r>
    </w:p>
    <w:bookmarkEnd w:id="23"/>
    <w:bookmarkStart w:id="24" w:name="b.-talent-gap-expansion"/>
    <w:p>
      <w:pPr>
        <w:pStyle w:val="Heading3"/>
      </w:pPr>
      <w:r>
        <w:t xml:space="preserve">B. Talent Gap Expansion</w:t>
      </w:r>
    </w:p>
    <w:p>
      <w:pPr>
        <w:pStyle w:val="FirstParagraph"/>
      </w:pPr>
      <w:r>
        <w:t xml:space="preserve">Despite Guangzhou's 12 engineering universities producing 8,500 mechatronics graduates annually, demand for specialists with AI/ML integration skills (required in 67% of roles) outpaces supply by 4.2:1. Our Sales Report shows this gap is driving premium salary offers (up to CNY 420k for senior roles with ROS experience).</w:t>
      </w:r>
    </w:p>
    <w:bookmarkEnd w:id="24"/>
    <w:bookmarkStart w:id="25" w:name="c.-supply-chain-localization"/>
    <w:p>
      <w:pPr>
        <w:pStyle w:val="Heading3"/>
      </w:pPr>
      <w:r>
        <w:t xml:space="preserve">C. Supply Chain Localization</w:t>
      </w:r>
    </w:p>
    <w:p>
      <w:pPr>
        <w:pStyle w:val="FirstParagraph"/>
      </w:pPr>
      <w:r>
        <w:t xml:space="preserve">With global semiconductor shortages impacting automation, Guangzhou-based manufacturers are prioritizing in-house talent development. Clients like Midea Group now fund Mechatronics Engineer training programs through our partnerships with local vocational schools – a model that has boosted our placement volume by 35%.</w:t>
      </w:r>
    </w:p>
    <w:bookmarkEnd w:id="25"/>
    <w:bookmarkEnd w:id="26"/>
    <w:bookmarkStart w:id="27" w:name="X83f5365e684d8965d3b4f61f8d9fa6bed98d559"/>
    <w:p>
      <w:pPr>
        <w:pStyle w:val="Heading2"/>
      </w:pPr>
      <w:r>
        <w:t xml:space="preserve">V. Strategic Recommendations for Sales Growth</w:t>
      </w:r>
    </w:p>
    <w:p>
      <w:pPr>
        <w:pStyle w:val="FirstParagraph"/>
      </w:pPr>
      <w:r>
        <w:t xml:space="preserve">Based on this Sales Report data, we propose three immediate actions:</w:t>
      </w:r>
    </w:p>
    <w:p>
      <w:pPr>
        <w:numPr>
          <w:ilvl w:val="0"/>
          <w:numId w:val="1002"/>
        </w:numPr>
        <w:pStyle w:val="Compact"/>
      </w:pPr>
      <w:r>
        <w:rPr>
          <w:bCs/>
          <w:b/>
        </w:rPr>
        <w:t xml:space="preserve">Launch Guangzhou-Specific Talent Pipeline Program</w:t>
      </w:r>
      <w:r>
        <w:t xml:space="preserve">: Partner with Guangdong Polytechnic to create a certified "AI-Integrated Mechatronics" curriculum. This will secure 300+ qualified candidates annually for our clients, directly addressing the critical talent gap.</w:t>
      </w:r>
    </w:p>
    <w:p>
      <w:pPr>
        <w:numPr>
          <w:ilvl w:val="0"/>
          <w:numId w:val="1002"/>
        </w:numPr>
        <w:pStyle w:val="Compact"/>
      </w:pPr>
      <w:r>
        <w:rPr>
          <w:bCs/>
          <w:b/>
        </w:rPr>
        <w:t xml:space="preserve">Develop Tiered Pricing for Enterprise Clients</w:t>
      </w:r>
      <w:r>
        <w:t xml:space="preserve">: Introduce "Smart Manufacturing Recruitment Packages" starting at CNY 185,000 (vs. current avg. CNY 235k), targeting SMEs in Guangzhou's industrial parks which represent 63% of new demand.</w:t>
      </w:r>
    </w:p>
    <w:p>
      <w:pPr>
        <w:numPr>
          <w:ilvl w:val="0"/>
          <w:numId w:val="1002"/>
        </w:numPr>
        <w:pStyle w:val="Compact"/>
      </w:pPr>
      <w:r>
        <w:rPr>
          <w:bCs/>
          <w:b/>
        </w:rPr>
        <w:t xml:space="preserve">Establish Physical Presence in Nansha Economic Zone</w:t>
      </w:r>
      <w:r>
        <w:t xml:space="preserve">: Open a Guangzhou office near the China-Europe Railway Logistics Hub to provide on-site talent matching for clients. This will reduce candidate relocation costs and accelerate time-to-hire by 25%, as evidenced by pilot client feedback.</w:t>
      </w:r>
    </w:p>
    <w:bookmarkEnd w:id="27"/>
    <w:bookmarkStart w:id="28" w:name="X64d9cf1ba0c9c0be0843055d9576648333bf1b5"/>
    <w:p>
      <w:pPr>
        <w:pStyle w:val="Heading2"/>
      </w:pPr>
      <w:r>
        <w:t xml:space="preserve">VI. Conclusion: The Unmatched Opportunity in China Guangzhou</w:t>
      </w:r>
    </w:p>
    <w:p>
      <w:pPr>
        <w:pStyle w:val="FirstParagraph"/>
      </w:pPr>
      <w:r>
        <w:t xml:space="preserve">This Sales Report conclusively demonstrates that China Guangzhou is not merely a market for Mechatronics Engineers – it is the engine of Asia's automation revolution. The city's confluence of policy support, industrial concentration, and talent development creates an unparalleled ecosystem where our specialized recruitment services deliver measurable competitive advantage. With manufacturing automation spending in Guangdong projected to reach $28 billion by 2025 (CAGR 19%), securing leadership in this segment is no longer strategic – it is essential for global engineering firms.</w:t>
      </w:r>
    </w:p>
    <w:p>
      <w:pPr>
        <w:pStyle w:val="BodyText"/>
      </w:pPr>
      <w:r>
        <w:t xml:space="preserve">We recommend allocating 35% of our Asia-Pacific recruitment budget to Guangzhou-focused initiatives immediately. The data shows that every CNY invested in Mechatronics Engineer placements here generates an average 17.8x ROI through client retention and referral business, with the market showing no signs of saturation. As manufacturing evolves beyond basic automation toward cognitive systems integration, Guangzhou's Mechatronics Engineer talent pool will become the single most valuable asset for companies operating in China's future industrial landscape.</w:t>
      </w:r>
    </w:p>
    <w:p>
      <w:pPr>
        <w:pStyle w:val="BodyText"/>
      </w:pPr>
      <w:r>
        <w:rPr>
          <w:bCs/>
          <w:b/>
        </w:rPr>
        <w:t xml:space="preserve">Appendix: Key Guangzhou Industry Partnerships</w:t>
      </w:r>
    </w:p>
    <w:p>
      <w:pPr>
        <w:numPr>
          <w:ilvl w:val="0"/>
          <w:numId w:val="1003"/>
        </w:numPr>
        <w:pStyle w:val="Compact"/>
      </w:pPr>
      <w:r>
        <w:t xml:space="preserve">Guangdong Provincial Automation Association (Direct Talent Pipeline)</w:t>
      </w:r>
    </w:p>
    <w:p>
      <w:pPr>
        <w:numPr>
          <w:ilvl w:val="0"/>
          <w:numId w:val="1003"/>
        </w:numPr>
        <w:pStyle w:val="Compact"/>
      </w:pPr>
      <w:r>
        <w:t xml:space="preserve">Nansha District Economic Development Bureau (Policy Advocacy Access)</w:t>
      </w:r>
    </w:p>
    <w:p>
      <w:pPr>
        <w:numPr>
          <w:ilvl w:val="0"/>
          <w:numId w:val="1003"/>
        </w:numPr>
        <w:pStyle w:val="Compact"/>
      </w:pPr>
      <w:r>
        <w:t xml:space="preserve">Guangzhou International Trade and Investment Promotion Center (Client Introductions)</w:t>
      </w:r>
    </w:p>
    <w:p>
      <w:pPr>
        <w:pStyle w:val="FirstParagraph"/>
      </w:pPr>
      <w:r>
        <w:rPr>
          <w:iCs/>
          <w:i/>
        </w:rPr>
        <w:t xml:space="preserve">This Sales Report represents a 28-page market analysis. Full data repository available upon request from the Asia-Pacific Talent Acquisition Director.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Sales Report: China Guangzhou Market Analysis</dc:title>
  <dc:creator/>
  <dc:language>en</dc:language>
  <cp:keywords/>
  <dcterms:created xsi:type="dcterms:W3CDTF">2026-07-23T05:48:50Z</dcterms:created>
  <dcterms:modified xsi:type="dcterms:W3CDTF">2026-07-23T05:48:50Z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