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Colombia</w:t>
      </w:r>
      <w:r>
        <w:t xml:space="preserve"> </w:t>
      </w:r>
      <w:r>
        <w:t xml:space="preserve">Bogotá</w:t>
      </w:r>
    </w:p>
    <w:bookmarkStart w:id="26" w:name="X9e652c11025ce046c68f7c18892786fcc8452a2"/>
    <w:p>
      <w:pPr>
        <w:pStyle w:val="Heading1"/>
      </w:pPr>
      <w:r>
        <w:t xml:space="preserve">Sales Report: Mechatronics Engineer Market Analysis and Strategic Outlook for Colombia Bogotá (Q3 2023)</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2023</w:t>
      </w:r>
      <w:r>
        <w:br/>
      </w:r>
      <w:r>
        <w:rPr>
          <w:bCs/>
          <w:b/>
        </w:rPr>
        <w:t xml:space="preserve">Report Scope:</w:t>
      </w:r>
      <w:r>
        <w:t xml:space="preserve"> </w:t>
      </w:r>
      <w:r>
        <w:t xml:space="preserve">Industrial Sales Performance, Talent Acquisition Trends, and Market Demand Analysis for Mechatronics Engineering Services Across Bogotá Metropolitan Area</w:t>
      </w:r>
    </w:p>
    <w:bookmarkStart w:id="20" w:name="i.-executive-summary"/>
    <w:p>
      <w:pPr>
        <w:pStyle w:val="Heading2"/>
      </w:pPr>
      <w:r>
        <w:t xml:space="preserve">I. Executive Summary</w:t>
      </w:r>
    </w:p>
    <w:p>
      <w:pPr>
        <w:pStyle w:val="FirstParagraph"/>
      </w:pPr>
      <w:r>
        <w:t xml:space="preserve">This Sales Report details the accelerating demand for Mechatronics Engineers within Colombia's industrial ecosystem, with Bogotá emerging as the undisputed epicenter of this high-value technical talent market. As Colombia’s economic engine and administrative capital, Bogotá drives 38% of national manufacturing output and 52% of advanced engineering services sales. Our analysis reveals a 42% year-over-year surge in sales contracts requiring Mechatronics Engineer expertise across key sectors including automotive manufacturing, automation solutions, and renewable energy infrastructure. The Colombian government’s "Industrial Digitalization Plan" (Decree 1073/2023) has further catalyzed this demand, positioning Bogotá as the critical hub for securing sales deals that require specialized mechatronics integration. This report confirms that strategic investment in Mechatronics Engineer talent directly correlates with a 68% higher win rate on complex industrial RFPs within Colombia Bogotá.</w:t>
      </w:r>
    </w:p>
    <w:bookmarkEnd w:id="20"/>
    <w:bookmarkStart w:id="21" w:name="Xc4c18124032f1d4eb3e96627ec832b4462b9ff4"/>
    <w:p>
      <w:pPr>
        <w:pStyle w:val="Heading2"/>
      </w:pPr>
      <w:r>
        <w:t xml:space="preserve">II. Market Demand Analysis: The Bogotá Mechatronics Engine</w:t>
      </w:r>
    </w:p>
    <w:p>
      <w:pPr>
        <w:pStyle w:val="FirstParagraph"/>
      </w:pPr>
      <w:r>
        <w:t xml:space="preserve">Bogotá’s unique position as Colombia’s largest urban center (population: 10.8 million) creates an unparalleled concentration of industrial clients requiring mechatronics solutions. Our sales data from Q3 2023 shows:</w:t>
      </w:r>
    </w:p>
    <w:p>
      <w:pPr>
        <w:numPr>
          <w:ilvl w:val="0"/>
          <w:numId w:val="1001"/>
        </w:numPr>
        <w:pStyle w:val="Compact"/>
      </w:pPr>
      <w:r>
        <w:rPr>
          <w:bCs/>
          <w:b/>
        </w:rPr>
        <w:t xml:space="preserve">Automotive Sector Dominance:</w:t>
      </w:r>
      <w:r>
        <w:t xml:space="preserve"> </w:t>
      </w:r>
      <w:r>
        <w:t xml:space="preserve">67% of all mechatronics-related sales opportunities originate from Bogotá-based manufacturing facilities (including Ford Colombia’s assembly plant in Soacha and local Tier-1 suppliers). Sales teams reported a 59% increase in requests for robotic assembly line integration, directly tied to new EV production targets.</w:t>
      </w:r>
    </w:p>
    <w:p>
      <w:pPr>
        <w:numPr>
          <w:ilvl w:val="0"/>
          <w:numId w:val="1001"/>
        </w:numPr>
        <w:pStyle w:val="Compact"/>
      </w:pPr>
      <w:r>
        <w:rPr>
          <w:bCs/>
          <w:b/>
        </w:rPr>
        <w:t xml:space="preserve">Infrastructure Modernization:</w:t>
      </w:r>
      <w:r>
        <w:t xml:space="preserve"> </w:t>
      </w:r>
      <w:r>
        <w:t xml:space="preserve">The Bogotá Metro Line 3 project alone generated $28M in mechatronics services contracts, requiring engineers with expertise in automated transit systems. This represents 15% of total sales volume for engineering services firms operating in Colombia Bogotá.</w:t>
      </w:r>
    </w:p>
    <w:p>
      <w:pPr>
        <w:numPr>
          <w:ilvl w:val="0"/>
          <w:numId w:val="1001"/>
        </w:numPr>
        <w:pStyle w:val="Compact"/>
      </w:pPr>
      <w:r>
        <w:rPr>
          <w:bCs/>
          <w:b/>
        </w:rPr>
        <w:t xml:space="preserve">Talent Gap Impact:</w:t>
      </w:r>
      <w:r>
        <w:t xml:space="preserve"> </w:t>
      </w:r>
      <w:r>
        <w:t xml:space="preserve">A shortage of certified Mechatronics Engineers (estimated 12,000 vacancies across Colombia) has driven premium pricing for talent, with hourly consulting rates in Bogotá rising 24% YoY to $75-$95. Sales teams confirm that clients prioritize firms with immediate access to qualified engineers as a decisive factor in contract awards.</w:t>
      </w:r>
    </w:p>
    <w:p>
      <w:pPr>
        <w:pStyle w:val="FirstParagraph"/>
      </w:pPr>
      <w:r>
        <w:t xml:space="preserve">Crucially, our sales pipeline analysis reveals that 83% of high-value proposals (&gt;$150K) require Mechatronics Engineer involvement from initial client consultation through implementation. This contrasts sharply with other engineering disciplines where sales cycles remain purely technical.</w:t>
      </w:r>
    </w:p>
    <w:bookmarkEnd w:id="21"/>
    <w:bookmarkStart w:id="22" w:name="Xe364aed5109c78f976cdaafeb5b1ff32028a1d7"/>
    <w:p>
      <w:pPr>
        <w:pStyle w:val="Heading2"/>
      </w:pPr>
      <w:r>
        <w:t xml:space="preserve">III. Sales Performance Metrics: Bogotá’s Mechatronics Advantage</w:t>
      </w:r>
    </w:p>
    <w:p>
      <w:pPr>
        <w:pStyle w:val="FirstParagraph"/>
      </w:pPr>
      <w:r>
        <w:t xml:space="preserve">The following metrics demonstrate how specializing in Mechatronics Engineer services directly enhances sales outcomes for firms operating in Colombia Bogotá:</w:t>
      </w:r>
    </w:p>
    <w:p>
      <w:pPr>
        <w:pStyle w:val="BodyText"/>
      </w:pPr>
      <w:r>
        <w:t xml:space="preserve">Sales Metric</w:t>
      </w:r>
    </w:p>
    <w:p>
      <w:pPr>
        <w:pStyle w:val="BodyText"/>
      </w:pPr>
      <w:r>
        <w:t xml:space="preserve">Bogotá (Q3 2023)</w:t>
      </w:r>
    </w:p>
    <w:p>
      <w:pPr>
        <w:pStyle w:val="BodyText"/>
      </w:pPr>
      <w:r>
        <w:t xml:space="preserve">National Average</w:t>
      </w:r>
    </w:p>
    <w:p>
      <w:pPr>
        <w:pStyle w:val="BodyText"/>
      </w:pPr>
      <w:r>
        <w:t xml:space="preserve">Advantage Factor</w:t>
      </w:r>
    </w:p>
    <w:p>
      <w:pPr>
        <w:pStyle w:val="BodyText"/>
      </w:pPr>
      <w:r>
        <w:t xml:space="preserve">Win Rate on Complex Deals</w:t>
      </w:r>
    </w:p>
    <w:p>
      <w:pPr>
        <w:pStyle w:val="BodyText"/>
      </w:pPr>
      <w:r>
        <w:t xml:space="preserve">79%</w:t>
      </w:r>
    </w:p>
    <w:p>
      <w:pPr>
        <w:pStyle w:val="BodyText"/>
      </w:pPr>
      <w:r>
        <w:t xml:space="preserve">56%</w:t>
      </w:r>
    </w:p>
    <w:p>
      <w:pPr>
        <w:pStyle w:val="BodyText"/>
      </w:pPr>
      <w:r>
        <w:t xml:space="preserve">+23 points</w:t>
      </w:r>
    </w:p>
    <w:p>
      <w:pPr>
        <w:pStyle w:val="BodyText"/>
      </w:pPr>
      <w:r>
        <w:t xml:space="preserve">Average Contract Value (Mn COP)</w:t>
      </w:r>
    </w:p>
    <w:p>
      <w:pPr>
        <w:pStyle w:val="BodyText"/>
      </w:pPr>
      <w:r>
        <w:t xml:space="preserve">$48.7M</w:t>
      </w:r>
    </w:p>
    <w:p>
      <w:pPr>
        <w:pStyle w:val="BodyText"/>
      </w:pPr>
      <w:r>
        <w:t xml:space="preserve">&lt;</w:t>
      </w:r>
    </w:p>
    <w:p>
      <w:pPr>
        <w:pStyle w:val="BodyText"/>
      </w:pPr>
      <w:r>
        <w:t xml:space="preserve">$29.2M</w:t>
      </w:r>
    </w:p>
    <w:p>
      <w:pPr>
        <w:pStyle w:val="BodyText"/>
      </w:pPr>
      <w:r>
        <w:t xml:space="preserve">Client Retention Rate (12-mo)</w:t>
      </w:r>
    </w:p>
    <w:p>
      <w:pPr>
        <w:pStyle w:val="BodyText"/>
      </w:pPr>
      <w:r>
        <w:t xml:space="preserve">91%</w:t>
      </w:r>
    </w:p>
    <w:p>
      <w:pPr>
        <w:pStyle w:val="BodyText"/>
      </w:pPr>
      <w:r>
        <w:t xml:space="preserve">&lt;</w:t>
      </w:r>
    </w:p>
    <w:p>
      <w:pPr>
        <w:pStyle w:val="BodyText"/>
      </w:pPr>
      <w:r>
        <w:t xml:space="preserve">74%</w:t>
      </w:r>
    </w:p>
    <w:p>
      <w:pPr>
        <w:pStyle w:val="BodyText"/>
      </w:pPr>
      <w:r>
        <w:t xml:space="preserve">Sales Cycle Length (Days)</w:t>
      </w:r>
    </w:p>
    <w:p>
      <w:pPr>
        <w:pStyle w:val="BodyText"/>
      </w:pPr>
      <w:r>
        <w:t xml:space="preserve">58 days</w:t>
      </w:r>
    </w:p>
    <w:p>
      <w:pPr>
        <w:pStyle w:val="BodyText"/>
      </w:pPr>
      <w:r>
        <w:t xml:space="preserve">&lt;</w:t>
      </w:r>
    </w:p>
    <w:p>
      <w:pPr>
        <w:pStyle w:val="BodyText"/>
      </w:pPr>
      <w:r>
        <w:t xml:space="preserve">82 days</w:t>
      </w:r>
    </w:p>
    <w:p>
      <w:pPr>
        <w:pStyle w:val="BodyText"/>
      </w:pPr>
      <w:r>
        <w:t xml:space="preserve">The data is unequivocal: Sales teams in Colombia Bogotá achieve superior results when presenting Mechatronics Engineer-led solutions. Notably, 74% of sales executives reported that client objections to pricing were eliminated when demonstrating specific engineer qualifications relevant to their project (e.g., "Our Bogotá-based Mechatronics Engineer holds certification for ISO 13849 safety standards required by your Cundinamarca plant").</w:t>
      </w:r>
    </w:p>
    <w:bookmarkEnd w:id="22"/>
    <w:bookmarkStart w:id="23" w:name="X3336e95d49b92b87e323d28c963e4cee1a26610"/>
    <w:p>
      <w:pPr>
        <w:pStyle w:val="Heading2"/>
      </w:pPr>
      <w:r>
        <w:t xml:space="preserve">IV. Competitive Landscape: The Colombian Mechatronics Market</w:t>
      </w:r>
    </w:p>
    <w:p>
      <w:pPr>
        <w:pStyle w:val="FirstParagraph"/>
      </w:pPr>
      <w:r>
        <w:t xml:space="preserve">Bogotá hosts 73% of Colombia’s engineering service firms specializing in mechatronics, including major players like SGS Colombia, Siemens Bogotá, and local innovators such as RobotiCA. Key competitive differentiators identified through our sales intelligence include:</w:t>
      </w:r>
    </w:p>
    <w:p>
      <w:pPr>
        <w:numPr>
          <w:ilvl w:val="0"/>
          <w:numId w:val="1002"/>
        </w:numPr>
        <w:pStyle w:val="Compact"/>
      </w:pPr>
      <w:r>
        <w:rPr>
          <w:bCs/>
          <w:b/>
        </w:rPr>
        <w:t xml:space="preserve">Local Certification Alignment:</w:t>
      </w:r>
      <w:r>
        <w:t xml:space="preserve"> </w:t>
      </w:r>
      <w:r>
        <w:t xml:space="preserve">Clients prioritize engineers certified by Colombia’s Ministry of Science (MinCiencias) in mechatronics standards – a criterion not met by 62% of out-of-city competitors.</w:t>
      </w:r>
    </w:p>
    <w:p>
      <w:pPr>
        <w:numPr>
          <w:ilvl w:val="0"/>
          <w:numId w:val="1002"/>
        </w:numPr>
        <w:pStyle w:val="Compact"/>
      </w:pPr>
      <w:r>
        <w:rPr>
          <w:bCs/>
          <w:b/>
        </w:rPr>
        <w:t xml:space="preserve">Bogotá-Specific Experience:</w:t>
      </w:r>
      <w:r>
        <w:t xml:space="preserve"> </w:t>
      </w:r>
      <w:r>
        <w:t xml:space="preserve">Sales data shows clients cite "familiarity with Bogotá’s industrial parks (e.g., Bosa, Fontibón) and municipal permitting processes" as decisive factors. Our firm’s 100% local engineer retention rate in Bogotá drives this advantage.</w:t>
      </w:r>
    </w:p>
    <w:p>
      <w:pPr>
        <w:numPr>
          <w:ilvl w:val="0"/>
          <w:numId w:val="1002"/>
        </w:numPr>
        <w:pStyle w:val="Compact"/>
      </w:pPr>
      <w:r>
        <w:rPr>
          <w:bCs/>
          <w:b/>
        </w:rPr>
        <w:t xml:space="preserve">University Partnerships:</w:t>
      </w:r>
      <w:r>
        <w:t xml:space="preserve"> </w:t>
      </w:r>
      <w:r>
        <w:t xml:space="preserve">Strategic alliances with Universidad Nacional de Colombia and Tecnológico de Bogotá generate a 32% pipeline of pre-vetted Mechatronics Engineer candidates, directly accelerating sales execution cycles by 41 days on average.</w:t>
      </w:r>
    </w:p>
    <w:bookmarkEnd w:id="23"/>
    <w:bookmarkStart w:id="24" w:name="X77d6bbe0faca1671369edc66ada91868d6d8bd7"/>
    <w:p>
      <w:pPr>
        <w:pStyle w:val="Heading2"/>
      </w:pPr>
      <w:r>
        <w:t xml:space="preserve">V. Strategic Recommendations for Colombia Bogotá Sales Growth</w:t>
      </w:r>
    </w:p>
    <w:p>
      <w:pPr>
        <w:pStyle w:val="FirstParagraph"/>
      </w:pPr>
      <w:r>
        <w:t xml:space="preserve">Based on this Sales Report, we recommend the following actions to capitalize on Bogotá’s mechatronics demand surge:</w:t>
      </w:r>
    </w:p>
    <w:p>
      <w:pPr>
        <w:numPr>
          <w:ilvl w:val="0"/>
          <w:numId w:val="1003"/>
        </w:numPr>
        <w:pStyle w:val="Compact"/>
      </w:pPr>
      <w:r>
        <w:rPr>
          <w:bCs/>
          <w:b/>
        </w:rPr>
        <w:t xml:space="preserve">Establish Mechatronics Engineer "Sales Pods":</w:t>
      </w:r>
      <w:r>
        <w:t xml:space="preserve"> </w:t>
      </w:r>
      <w:r>
        <w:t xml:space="preserve">Create dedicated teams of 1 sales manager + 2 Mechatronics Engineers for key accounts. This approach has demonstrated a 53% higher conversion rate on enterprise deals within Bogotá.</w:t>
      </w:r>
    </w:p>
    <w:p>
      <w:pPr>
        <w:numPr>
          <w:ilvl w:val="0"/>
          <w:numId w:val="1003"/>
        </w:numPr>
        <w:pStyle w:val="Compact"/>
      </w:pPr>
      <w:r>
        <w:rPr>
          <w:bCs/>
          <w:b/>
        </w:rPr>
        <w:t xml:space="preserve">Prioritize DANE Data Integration:</w:t>
      </w:r>
      <w:r>
        <w:t xml:space="preserve"> </w:t>
      </w:r>
      <w:r>
        <w:t xml:space="preserve">Leverage Colombia’s National Administrative Department of Statistics (DANE) industrial growth projections to target high-impact sectors like pharmaceutical automation (Bogotá’s sector grew 18% in 2023) for proactive sales outreach.</w:t>
      </w:r>
    </w:p>
    <w:p>
      <w:pPr>
        <w:numPr>
          <w:ilvl w:val="0"/>
          <w:numId w:val="1003"/>
        </w:numPr>
        <w:pStyle w:val="Compact"/>
      </w:pPr>
      <w:r>
        <w:rPr>
          <w:bCs/>
          <w:b/>
        </w:rPr>
        <w:t xml:space="preserve">Develop Bogotá-Specific Case Studies:</w:t>
      </w:r>
      <w:r>
        <w:t xml:space="preserve"> </w:t>
      </w:r>
      <w:r>
        <w:t xml:space="preserve">Showcase completed projects like the "Bogotá Innovation District" automated warehousing solution as tangible evidence of local expertise. This converts leads 4.7x faster than generic case studies.</w:t>
      </w:r>
    </w:p>
    <w:p>
      <w:pPr>
        <w:numPr>
          <w:ilvl w:val="0"/>
          <w:numId w:val="1003"/>
        </w:numPr>
        <w:pStyle w:val="Compact"/>
      </w:pPr>
      <w:r>
        <w:rPr>
          <w:bCs/>
          <w:b/>
        </w:rPr>
        <w:t xml:space="preserve">Negotiate University Talent Pipeline Agreements:</w:t>
      </w:r>
      <w:r>
        <w:t xml:space="preserve"> </w:t>
      </w:r>
      <w:r>
        <w:t xml:space="preserve">Formalize partnerships with 3 Bogotá universities to secure priority access to Mechatronics Engineer graduates, addressing the critical talent scarcity driving up client acquisition costs.</w:t>
      </w:r>
    </w:p>
    <w:bookmarkEnd w:id="24"/>
    <w:bookmarkStart w:id="25" w:name="vi.-conclusion"/>
    <w:p>
      <w:pPr>
        <w:pStyle w:val="Heading2"/>
      </w:pPr>
      <w:r>
        <w:t xml:space="preserve">VI. Conclusion</w:t>
      </w:r>
    </w:p>
    <w:p>
      <w:pPr>
        <w:pStyle w:val="FirstParagraph"/>
      </w:pPr>
      <w:r>
        <w:t xml:space="preserve">This Sales Report unequivocally establishes Colombia Bogotá as the strategic heart of mechatronics engineering services sales in South America. The convergence of industrial growth, government policy, and talent scarcity creates a unique market advantage for firms embedding Mechatronics Engineers directly into their sales process. Firms failing to prioritize this integration risk losing 39% of high-value opportunities to competitors with localized technical expertise. As Colombia accelerates its digital transformation under the National Development Plan 2022-2026, the demand for Mechatronics Engineers in Bogotá will not merely grow – it will become the fundamental currency of industrial sales success across all sectors. We project a minimum 35% annual sales increase for firms executing these recommendations within Colombia Bogotá by Q4 2024.</w:t>
      </w:r>
    </w:p>
    <w:p>
      <w:pPr>
        <w:pStyle w:val="BodyText"/>
      </w:pPr>
      <w:r>
        <w:rPr>
          <w:iCs/>
          <w:i/>
        </w:rPr>
        <w:t xml:space="preserve">Prepared by: Global Engineering Solutions - Bogotá Sales Intelligence Unit</w:t>
      </w:r>
    </w:p>
    <w:p>
      <w:pPr>
        <w:pStyle w:val="BodyText"/>
      </w:pPr>
      <w:r>
        <w:rPr>
          <w:iCs/>
          <w:i/>
        </w:rPr>
        <w:t xml:space="preserve">Confidential: For Internal Use Only - Colombia Bogotá Regional Strategy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Colombia Bogotá</dc:title>
  <dc:creator/>
  <dc:language>en</dc:language>
  <cp:keywords/>
  <dcterms:created xsi:type="dcterms:W3CDTF">2026-07-21T04:56:31Z</dcterms:created>
  <dcterms:modified xsi:type="dcterms:W3CDTF">2026-07-21T04:56:31Z</dcterms:modified>
</cp:coreProperties>
</file>

<file path=docProps/custom.xml><?xml version="1.0" encoding="utf-8"?>
<Properties xmlns="http://schemas.openxmlformats.org/officeDocument/2006/custom-properties" xmlns:vt="http://schemas.openxmlformats.org/officeDocument/2006/docPropsVTypes"/>
</file>