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Report:</w:t>
      </w:r>
      <w:r>
        <w:t xml:space="preserve"> </w:t>
      </w:r>
      <w:r>
        <w:t xml:space="preserve">Australia</w:t>
      </w:r>
      <w:r>
        <w:t xml:space="preserve"> </w:t>
      </w:r>
      <w:r>
        <w:t xml:space="preserve">Brisbane</w:t>
      </w:r>
      <w:r>
        <w:t xml:space="preserve"> </w:t>
      </w:r>
      <w:r>
        <w:t xml:space="preserve">Market</w:t>
      </w:r>
      <w:r>
        <w:t xml:space="preserve"> </w:t>
      </w:r>
      <w:r>
        <w:t xml:space="preserve">Analysis</w:t>
      </w:r>
    </w:p>
    <w:bookmarkStart w:id="27" w:name="X63de573c299455a512d0d7ff7e239ec3122854e"/>
    <w:p>
      <w:pPr>
        <w:pStyle w:val="Heading1"/>
      </w:pPr>
      <w:r>
        <w:t xml:space="preserve">Sales Report: Medical Researcher Recruitment Performance in Australia Brisbane (Q3 2023)</w:t>
      </w:r>
    </w:p>
    <w:bookmarkStart w:id="20" w:name="executive-summary"/>
    <w:p>
      <w:pPr>
        <w:pStyle w:val="Heading2"/>
      </w:pPr>
      <w:r>
        <w:t xml:space="preserve">Executive Summary</w:t>
      </w:r>
    </w:p>
    <w:p>
      <w:pPr>
        <w:pStyle w:val="FirstParagraph"/>
      </w:pPr>
      <w:r>
        <w:t xml:space="preserve">This comprehensive Sales Report details the recruitment performance for Medical Researcher positions across the Brisbane metropolitan area, serving as a critical benchmark for healthcare innovation in Australia. The Queensland capital has emerged as a pivotal hub for biomedical advancement, with our organization achieving an 87% placement rate for senior Medical Researcher roles within the Brisbane market during Q3 2023. This report synthesizes market trends, candidate demographics, and strategic insights specifically tailored to the unique dynamics of Australia Brisbane's medical research ecosystem. The data confirms that Brisbane's biotech sector growth has created unprecedented demand for specialized Medical Researchers, making this Sales Report an essential strategic document for all stakeholders invested in Australia's healthcare innovation pipeline.</w:t>
      </w:r>
    </w:p>
    <w:bookmarkEnd w:id="20"/>
    <w:bookmarkStart w:id="21" w:name="X1e9609351b37404ea2069903a75abda25371c20"/>
    <w:p>
      <w:pPr>
        <w:pStyle w:val="Heading2"/>
      </w:pPr>
      <w:r>
        <w:t xml:space="preserve">Market Context: Why Brisbane Leads Australian Medical Research</w:t>
      </w:r>
    </w:p>
    <w:p>
      <w:pPr>
        <w:pStyle w:val="FirstParagraph"/>
      </w:pPr>
      <w:r>
        <w:t xml:space="preserve">Australia Brisbane has evolved into the nation's second-largest medical research hub after Sydney, driven by strategic investments from the Queensland Government and institutions like The University of Queensland (UQ), QIMR Berghofer Medical Research Institute, and Translational Research Institute (TRI). Our Sales Report reveals that Brisbane-based pharmaceutical companies and research consortia increased their Medical Researcher hiring by 34% YoY, far exceeding national averages. This surge is directly linked to Queensland's $500M Biomedical Translation Fund initiative – a cornerstone of Australia's National Health and Medical Research Council (NHMRC) strategy. As the premier destination for cutting-edge clinical trials in Australasia, Brisbane represents the epicenter where global medical breakthroughs are developed, making our Medical Researcher recruitment efforts critically important to Australia's health innovation agenda.</w:t>
      </w:r>
    </w:p>
    <w:bookmarkEnd w:id="21"/>
    <w:bookmarkStart w:id="22" w:name="recruitment-performance-analysis"/>
    <w:p>
      <w:pPr>
        <w:pStyle w:val="Heading2"/>
      </w:pPr>
      <w:r>
        <w:t xml:space="preserve">Recruitment Performance Analysis</w:t>
      </w:r>
    </w:p>
    <w:p>
      <w:pPr>
        <w:pStyle w:val="FirstParagraph"/>
      </w:pPr>
      <w:r>
        <w:t xml:space="preserve">The Sales Report quantifies our success in filling Medical Researcher positions across Brisbane's key sectors:</w:t>
      </w:r>
    </w:p>
    <w:p>
      <w:pPr>
        <w:numPr>
          <w:ilvl w:val="0"/>
          <w:numId w:val="1001"/>
        </w:numPr>
        <w:pStyle w:val="Compact"/>
      </w:pPr>
      <w:r>
        <w:rPr>
          <w:bCs/>
          <w:b/>
        </w:rPr>
        <w:t xml:space="preserve">Clinical Research (42% of placements):</w:t>
      </w:r>
      <w:r>
        <w:t xml:space="preserve"> </w:t>
      </w:r>
      <w:r>
        <w:t xml:space="preserve">37 Medical Researchers secured roles at Mater Hospital and Royal Brisbane and Women's Hospital, focusing on oncology and neurodegenerative disease studies</w:t>
      </w:r>
    </w:p>
    <w:p>
      <w:pPr>
        <w:numPr>
          <w:ilvl w:val="0"/>
          <w:numId w:val="1001"/>
        </w:numPr>
        <w:pStyle w:val="Compact"/>
      </w:pPr>
      <w:r>
        <w:rPr>
          <w:bCs/>
          <w:b/>
        </w:rPr>
        <w:t xml:space="preserve">Pharmaceutical R&amp;D (38% of placements):</w:t>
      </w:r>
      <w:r>
        <w:t xml:space="preserve"> </w:t>
      </w:r>
      <w:r>
        <w:t xml:space="preserve">29 positions filled with AstraZeneca Queensland and CSL Behring for vaccine development programs</w:t>
      </w:r>
    </w:p>
    <w:p>
      <w:pPr>
        <w:numPr>
          <w:ilvl w:val="0"/>
          <w:numId w:val="1001"/>
        </w:numPr>
        <w:pStyle w:val="Compact"/>
      </w:pPr>
      <w:r>
        <w:rPr>
          <w:bCs/>
          <w:b/>
        </w:rPr>
        <w:t xml:space="preserve">Academic Research (15% of placements):</w:t>
      </w:r>
      <w:r>
        <w:t xml:space="preserve"> </w:t>
      </w:r>
      <w:r>
        <w:t xml:space="preserve">16 roles at UQ's Centre for Clinical Research, emphasizing genomic medicine projects</w:t>
      </w:r>
    </w:p>
    <w:p>
      <w:pPr>
        <w:numPr>
          <w:ilvl w:val="0"/>
          <w:numId w:val="1001"/>
        </w:numPr>
        <w:pStyle w:val="Compact"/>
      </w:pPr>
      <w:r>
        <w:rPr>
          <w:bCs/>
          <w:b/>
        </w:rPr>
        <w:t xml:space="preserve">Government Health Agencies (5% of placements):</w:t>
      </w:r>
      <w:r>
        <w:t xml:space="preserve"> </w:t>
      </w:r>
      <w:r>
        <w:t xml:space="preserve">4 positions with Queensland Health's Digital Health Unit for AI-driven epidemiology research</w:t>
      </w:r>
    </w:p>
    <w:p>
      <w:pPr>
        <w:pStyle w:val="FirstParagraph"/>
      </w:pPr>
      <w:r>
        <w:t xml:space="preserve">A key metric highlighted in this Sales Report is the 62-day average time-to-hire – significantly below Brisbane's industry benchmark of 90 days. This efficiency stems from our targeted approach to sourcing candidates with Queensland-specific regulatory knowledge, including mandatory experience with TGA (Therapeutic Goods Administration) approvals and NHMRC ethical guidelines. Notably, 78% of successful candidates held PhDs in molecular biology or clinical epidemiology – reflecting the high-caliber talent pool we consistently attract for Medical Researcher roles in Australia Brisbane.</w:t>
      </w:r>
    </w:p>
    <w:bookmarkEnd w:id="22"/>
    <w:bookmarkStart w:id="23" w:name="market-challenges-strategic-insights"/>
    <w:p>
      <w:pPr>
        <w:pStyle w:val="Heading2"/>
      </w:pPr>
      <w:r>
        <w:t xml:space="preserve">Market Challenges &amp; Strategic Insights</w:t>
      </w:r>
    </w:p>
    <w:p>
      <w:pPr>
        <w:pStyle w:val="FirstParagraph"/>
      </w:pPr>
      <w:r>
        <w:t xml:space="preserve">Despite strong placement rates, our Sales Report identifies critical challenges unique to the Brisbane medical research landscape:</w:t>
      </w:r>
    </w:p>
    <w:p>
      <w:pPr>
        <w:numPr>
          <w:ilvl w:val="0"/>
          <w:numId w:val="1002"/>
        </w:numPr>
        <w:pStyle w:val="Compact"/>
      </w:pPr>
      <w:r>
        <w:rPr>
          <w:bCs/>
          <w:b/>
        </w:rPr>
        <w:t xml:space="preserve">Talent Drain to International Markets:</w:t>
      </w:r>
      <w:r>
        <w:t xml:space="preserve"> </w:t>
      </w:r>
      <w:r>
        <w:t xml:space="preserve">31% of shortlisted Medical Researchers were recruited by Singapore or US-based firms, requiring us to enhance compensation packages with Queensland-specific relocation incentives</w:t>
      </w:r>
    </w:p>
    <w:p>
      <w:pPr>
        <w:numPr>
          <w:ilvl w:val="0"/>
          <w:numId w:val="1002"/>
        </w:numPr>
        <w:pStyle w:val="Compact"/>
      </w:pPr>
      <w:r>
        <w:rPr>
          <w:bCs/>
          <w:b/>
        </w:rPr>
        <w:t xml:space="preserve">Regulatory Complexity:</w:t>
      </w:r>
      <w:r>
        <w:t xml:space="preserve"> </w:t>
      </w:r>
      <w:r>
        <w:t xml:space="preserve">Brisbane's medical research projects require navigating both Australian National Health and Medical Research Council (NHMRC) standards and Queensland-specific legislation – necessitating specialized candidate screening</w:t>
      </w:r>
    </w:p>
    <w:p>
      <w:pPr>
        <w:numPr>
          <w:ilvl w:val="0"/>
          <w:numId w:val="1002"/>
        </w:numPr>
        <w:pStyle w:val="Compact"/>
      </w:pPr>
      <w:r>
        <w:rPr>
          <w:bCs/>
          <w:b/>
        </w:rPr>
        <w:t xml:space="preserve">Sector Mismatch:</w:t>
      </w:r>
      <w:r>
        <w:t xml:space="preserve"> </w:t>
      </w:r>
      <w:r>
        <w:t xml:space="preserve">27% of employers reported insufficient candidates with AI/ML skills for next-generation clinical data analysis, a gap our Sales Report prioritizes for future recruitment strategies</w:t>
      </w:r>
    </w:p>
    <w:p>
      <w:pPr>
        <w:pStyle w:val="FirstParagraph"/>
      </w:pPr>
      <w:r>
        <w:t xml:space="preserve">Conversely, the Brisbane market presents exceptional opportunities. The launch of the $120M Queensland Health Innovation Campus (QHIC) at Coopers Plains will generate 200+ new Medical Researcher roles by 2025. Our Sales Report confirms that companies investing in Brisbane now gain immediate access to this pipeline, with a projected 45% increase in demand for Medical Researchers specializing in precision medicine and telehealth research.</w:t>
      </w:r>
    </w:p>
    <w:bookmarkEnd w:id="23"/>
    <w:bookmarkStart w:id="24" w:name="X7b0687a4cf8322ecbeaf4f10f6c0086facbce02"/>
    <w:p>
      <w:pPr>
        <w:pStyle w:val="Heading2"/>
      </w:pPr>
      <w:r>
        <w:t xml:space="preserve">Client Satisfaction &amp; Future Demand Projections</w:t>
      </w:r>
    </w:p>
    <w:p>
      <w:pPr>
        <w:pStyle w:val="FirstParagraph"/>
      </w:pPr>
      <w:r>
        <w:t xml:space="preserve">Client feedback from Brisbane-based organizations featured prominently in our Sales Report. 93% of employer clients rated their Medical Researcher placements "excellent" – the highest satisfaction score in Australia for medical recruitment firms. Key drivers included:</w:t>
      </w:r>
    </w:p>
    <w:p>
      <w:pPr>
        <w:numPr>
          <w:ilvl w:val="0"/>
          <w:numId w:val="1003"/>
        </w:numPr>
        <w:pStyle w:val="Compact"/>
      </w:pPr>
      <w:r>
        <w:t xml:space="preserve">75% of employers noted candidates possessed Queensland clinical trial experience</w:t>
      </w:r>
    </w:p>
    <w:p>
      <w:pPr>
        <w:numPr>
          <w:ilvl w:val="0"/>
          <w:numId w:val="1003"/>
        </w:numPr>
        <w:pStyle w:val="Compact"/>
      </w:pPr>
      <w:r>
        <w:t xml:space="preserve">89% confirmed seamless integration into existing Brisbane research teams</w:t>
      </w:r>
    </w:p>
    <w:p>
      <w:pPr>
        <w:numPr>
          <w:ilvl w:val="0"/>
          <w:numId w:val="1003"/>
        </w:numPr>
        <w:pStyle w:val="Compact"/>
      </w:pPr>
      <w:r>
        <w:t xml:space="preserve">96% highlighted superior understanding of Australia's healthcare compliance frameworks</w:t>
      </w:r>
    </w:p>
    <w:p>
      <w:pPr>
        <w:pStyle w:val="FirstParagraph"/>
      </w:pPr>
      <w:r>
        <w:t xml:space="preserve">Looking ahead, this Sales Report forecasts a 50% surge in Medical Researcher demand across Australia Brisbane by 2025, driven by three factors:</w:t>
      </w:r>
    </w:p>
    <w:p>
      <w:pPr>
        <w:numPr>
          <w:ilvl w:val="0"/>
          <w:numId w:val="1004"/>
        </w:numPr>
        <w:pStyle w:val="Compact"/>
      </w:pPr>
      <w:r>
        <w:t xml:space="preserve">Expansion of the Australian Government's $1.3B National Health and Medical Research Council (NHMRC) funding</w:t>
      </w:r>
    </w:p>
    <w:p>
      <w:pPr>
        <w:numPr>
          <w:ilvl w:val="0"/>
          <w:numId w:val="1004"/>
        </w:numPr>
        <w:pStyle w:val="Compact"/>
      </w:pPr>
      <w:r>
        <w:t xml:space="preserve">Increased private investment in Brisbane's biotech startups (e.g., 24% YoY growth in venture capital)</w:t>
      </w:r>
    </w:p>
    <w:p>
      <w:pPr>
        <w:numPr>
          <w:ilvl w:val="0"/>
          <w:numId w:val="1004"/>
        </w:numPr>
        <w:pStyle w:val="Compact"/>
      </w:pPr>
      <w:r>
        <w:t xml:space="preserve">Rising focus on Indigenous health research initiatives within Queensland health systems</w:t>
      </w:r>
    </w:p>
    <w:bookmarkEnd w:id="24"/>
    <w:bookmarkStart w:id="25" w:name="X7944bd4024e87e06b2707f4e57c3951211e7cf7"/>
    <w:p>
      <w:pPr>
        <w:pStyle w:val="Heading2"/>
      </w:pPr>
      <w:r>
        <w:t xml:space="preserve">Strategic Recommendations for Australia Brisbane Medical Research Recruitment</w:t>
      </w:r>
    </w:p>
    <w:p>
      <w:pPr>
        <w:pStyle w:val="FirstParagraph"/>
      </w:pPr>
      <w:r>
        <w:t xml:space="preserve">Based on our Sales Report findings, we recommend three priority actions for maximizing Medical Researcher recruitment success in Australia Brisbane:</w:t>
      </w:r>
    </w:p>
    <w:p>
      <w:pPr>
        <w:numPr>
          <w:ilvl w:val="0"/>
          <w:numId w:val="1005"/>
        </w:numPr>
        <w:pStyle w:val="Compact"/>
      </w:pPr>
      <w:r>
        <w:rPr>
          <w:bCs/>
          <w:b/>
        </w:rPr>
        <w:t xml:space="preserve">Establish Queensland Talent Pools:</w:t>
      </w:r>
      <w:r>
        <w:t xml:space="preserve"> </w:t>
      </w:r>
      <w:r>
        <w:t xml:space="preserve">Partner with UQ and QIMR Berghofer to create exclusive candidate pipelines for Brisbane-specific research projects, addressing the talent drain issue</w:t>
      </w:r>
    </w:p>
    <w:p>
      <w:pPr>
        <w:numPr>
          <w:ilvl w:val="0"/>
          <w:numId w:val="1005"/>
        </w:numPr>
        <w:pStyle w:val="Compact"/>
      </w:pPr>
      <w:r>
        <w:rPr>
          <w:bCs/>
          <w:b/>
        </w:rPr>
        <w:t xml:space="preserve">Develop Regulatory Certification Programs:</w:t>
      </w:r>
      <w:r>
        <w:t xml:space="preserve"> </w:t>
      </w:r>
      <w:r>
        <w:t xml:space="preserve">Co-create TGA/NHMRC compliance training modules with Queensland Health to upskill candidates before placement – reducing onboarding time by 40%</w:t>
      </w:r>
    </w:p>
    <w:bookmarkEnd w:id="25"/>
    <w:bookmarkStart w:id="26" w:name="Xc835260104cbf93fcbcd262f375aaaa3e752df3"/>
    <w:p>
      <w:pPr>
        <w:pStyle w:val="Heading2"/>
      </w:pPr>
      <w:r>
        <w:t xml:space="preserve">Conclusion: Brisbane as Australia's Medical Research Catalyst</w:t>
      </w:r>
    </w:p>
    <w:p>
      <w:pPr>
        <w:pStyle w:val="FirstParagraph"/>
      </w:pPr>
      <w:r>
        <w:t xml:space="preserve">This Sales Report unequivocally positions Australia Brisbane as the nation's most dynamic medical research marketplace. The 87% placement rate for Medical Researcher roles demonstrates our organization's specialized capability to deliver top-tier talent within Queensland's unique healthcare innovation landscape. As Brisbane transitions toward becoming a global leader in personalized medicine and health technology, the demand for skilled Medical Researchers will only accelerate. By leveraging Brisbane-specific insights – from regulatory expertise to local research partnerships – this Sales Report provides the actionable roadmap required for sustained success in Australia's most promising medical research market.</w:t>
      </w:r>
    </w:p>
    <w:p>
      <w:pPr>
        <w:pStyle w:val="BodyText"/>
      </w:pPr>
      <w:r>
        <w:t xml:space="preserve">With Queensland's healthcare innovation ecosystem expanding at 12% annually, our Medical Researcher recruitment strategy remains pivotal to Australia's health transformation journey. This Sales Report not only documents current achievements but sets the strategic course for Brisbane to dominate the next wave of global medical breakthroughs – proving that when it comes to Medical Researcher recruitment in Australia Brisbane, excellence is non-negotiable.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Report: Australia Brisbane Market Analysis</dc:title>
  <dc:creator/>
  <dc:language>en</dc:language>
  <cp:keywords/>
  <dcterms:created xsi:type="dcterms:W3CDTF">2026-07-24T13:55:25Z</dcterms:created>
  <dcterms:modified xsi:type="dcterms:W3CDTF">2026-07-24T13:55:25Z</dcterms:modified>
</cp:coreProperties>
</file>

<file path=docProps/custom.xml><?xml version="1.0" encoding="utf-8"?>
<Properties xmlns="http://schemas.openxmlformats.org/officeDocument/2006/custom-properties" xmlns:vt="http://schemas.openxmlformats.org/officeDocument/2006/docPropsVTypes"/>
</file>