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7" w:name="Xffc927db04c8c4dfda4a94571b63d41692a4a0f"/>
    <w:p>
      <w:pPr>
        <w:pStyle w:val="Heading1"/>
      </w:pPr>
      <w:r>
        <w:t xml:space="preserve">Annual Sales Report: Medical Researcher Position Demand &amp; Market Analysis -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Recruitment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evolving demand landscape for Medical Researcher positions within Australia's Melbourne healthcare ecosystem. Our analysis reveals a 34% year-on-year increase in recruitment activity for specialized medical research roles across Melbourne-based institutions, driven by unprecedented investment in biomedical innovation. The Australian government's $12 billion National Health and Medical Research Council (NHMRC) funding boost has directly accelerated this growth, positioning Melbourne as the undisputed hub of medical research sales opportunities in Oceania. This report confirms that Medical Researcher positions represent our highest-growth service line, with a 47% increase in client acquisition specifically targeting Australia Melbourne market expansion.</w:t>
      </w:r>
    </w:p>
    <w:bookmarkEnd w:id="20"/>
    <w:bookmarkStart w:id="21" w:name="Xaadeaee4d98cadaec47aa90a0a24a21e103b0b9"/>
    <w:p>
      <w:pPr>
        <w:pStyle w:val="Heading2"/>
      </w:pPr>
      <w:r>
        <w:t xml:space="preserve">II. Market Context: Australia Melbourne's Medical Research Ecosystem</w:t>
      </w:r>
    </w:p>
    <w:p>
      <w:pPr>
        <w:pStyle w:val="FirstParagraph"/>
      </w:pPr>
      <w:r>
        <w:t xml:space="preserve">Melbourne's status as Australia's leading medical research destination is cemented by its concentration of world-class facilities – including the Peter Doherty Institute, Florey Institute, and Monash University's Biomedical Discovery Precinct. This cluster effect generated 28% of all Australian medical research patents filed in 2023. Our sales data indicates that Melbourne-based pharmaceutical firms (e.g., CSL Behring), university medical faculties, and government health agencies now account for 63% of all Medical Researcher recruitment contracts secured nationwide. Crucially, the Victorian Government's "Medicine for the Future" initiative has allocated $580 million specifically for research infrastructure in Melbourne, directly fueling our sales pipeline.</w:t>
      </w:r>
    </w:p>
    <w:bookmarkEnd w:id="21"/>
    <w:bookmarkStart w:id="22" w:name="X28b3ccbfec8c6ca8e287e05fb31523b9322ad0c"/>
    <w:p>
      <w:pPr>
        <w:pStyle w:val="Heading2"/>
      </w:pPr>
      <w:r>
        <w:t xml:space="preserve">III. Sales Performance: Medical Researcher Position Metrics (Australia Melbourne)</w:t>
      </w:r>
    </w:p>
    <w:p>
      <w:pPr>
        <w:pStyle w:val="FirstParagraph"/>
      </w:pPr>
      <w:r>
        <w:t xml:space="preserve">Key Metric</w:t>
      </w:r>
    </w:p>
    <w:p>
      <w:pPr>
        <w:pStyle w:val="BodyText"/>
      </w:pPr>
      <w:r>
        <w:t xml:space="preserve">2022</w:t>
      </w:r>
    </w:p>
    <w:p>
      <w:pPr>
        <w:pStyle w:val="BodyText"/>
      </w:pPr>
      <w:r>
        <w:t xml:space="preserve">2023</w:t>
      </w:r>
    </w:p>
    <w:p>
      <w:pPr>
        <w:pStyle w:val="BodyText"/>
      </w:pPr>
      <w:r>
        <w:t xml:space="preserve">% Change</w:t>
      </w:r>
    </w:p>
    <w:p>
      <w:pPr>
        <w:pStyle w:val="BodyText"/>
      </w:pPr>
      <w:r>
        <w:t xml:space="preserve">Medical Researcher Contracts Signed (Melbourne)</w:t>
      </w:r>
    </w:p>
    <w:p>
      <w:pPr>
        <w:pStyle w:val="BodyText"/>
      </w:pPr>
      <w:r>
        <w:t xml:space="preserve">187</w:t>
      </w:r>
    </w:p>
    <w:p>
      <w:pPr>
        <w:pStyle w:val="BodyText"/>
      </w:pPr>
      <w:r>
        <w:t xml:space="preserve">251</w:t>
      </w:r>
    </w:p>
    <w:p>
      <w:pPr>
        <w:pStyle w:val="BodyText"/>
      </w:pPr>
      <w:r>
        <w:t xml:space="preserve">+34.2%</w:t>
      </w:r>
    </w:p>
    <w:p>
      <w:pPr>
        <w:pStyle w:val="BodyText"/>
      </w:pPr>
      <w:r>
        <w:t xml:space="preserve">Avg. Contract Value (AUD)</w:t>
      </w:r>
    </w:p>
    <w:p>
      <w:pPr>
        <w:pStyle w:val="BodyText"/>
      </w:pPr>
      <w:r>
        <w:t xml:space="preserve">$48,500</w:t>
      </w:r>
    </w:p>
    <w:p>
      <w:pPr>
        <w:pStyle w:val="BodyText"/>
      </w:pPr>
      <w:r>
        <w:t xml:space="preserve">&lt;</w:t>
      </w:r>
    </w:p>
    <w:p>
      <w:pPr>
        <w:pStyle w:val="BodyText"/>
      </w:pPr>
      <w:r>
        <w:t xml:space="preserve">$59,200</w:t>
      </w:r>
    </w:p>
    <w:p>
      <w:pPr>
        <w:pStyle w:val="BodyText"/>
      </w:pPr>
      <w:r>
        <w:t xml:space="preserve">+21.9%</w:t>
      </w:r>
    </w:p>
    <w:p>
      <w:pPr>
        <w:pStyle w:val="BodyText"/>
      </w:pPr>
      <w:r>
        <w:t xml:space="preserve">Client Acquisition Rate (Melbourne)</w:t>
      </w:r>
    </w:p>
    <w:p>
      <w:pPr>
        <w:pStyle w:val="BodyText"/>
      </w:pPr>
      <w:r>
        <w:t xml:space="preserve">42%</w:t>
      </w:r>
    </w:p>
    <w:p>
      <w:pPr>
        <w:pStyle w:val="BodyText"/>
      </w:pPr>
      <w:r>
        <w:t xml:space="preserve">57%</w:t>
      </w:r>
    </w:p>
    <w:p>
      <w:pPr>
        <w:pStyle w:val="BodyText"/>
      </w:pPr>
      <w:r>
        <w:t xml:space="preserve">+35.7%</w:t>
      </w:r>
    </w:p>
    <w:p>
      <w:pPr>
        <w:pStyle w:val="BodyText"/>
      </w:pPr>
      <w:r>
        <w:t xml:space="preserve">Pipeline Value (Q4 2023)</w:t>
      </w:r>
    </w:p>
    <w:p>
      <w:pPr>
        <w:pStyle w:val="BodyText"/>
      </w:pPr>
      <w:r>
        <w:t xml:space="preserve">$12.6M</w:t>
      </w:r>
    </w:p>
    <w:p>
      <w:pPr>
        <w:pStyle w:val="BodyText"/>
      </w:pPr>
      <w:r>
        <w:t xml:space="preserve">&lt;</w:t>
      </w:r>
    </w:p>
    <w:p>
      <w:pPr>
        <w:pStyle w:val="BodyText"/>
      </w:pPr>
      <w:r>
        <w:t xml:space="preserve">$18.9M</w:t>
      </w:r>
    </w:p>
    <w:p>
      <w:pPr>
        <w:pStyle w:val="BodyText"/>
      </w:pPr>
      <w:r>
        <w:t xml:space="preserve">Notable achievement: Secured 45% of new contracts with Melbourne-based biotech startups in the oncology and AI-driven drug discovery sectors – a 3x increase from 2022. The premium pricing strategy for specialized Medical Researcher roles (e.g., immunotherapy, genomics) has yielded exceptional margins, with 78% of our top-tier clients paying above $50,000 per placement in Australia Melbourne.</w:t>
      </w:r>
    </w:p>
    <w:bookmarkEnd w:id="22"/>
    <w:bookmarkStart w:id="23" w:name="X5639efc9055527013d0dd699132fc5cd15c8f19"/>
    <w:p>
      <w:pPr>
        <w:pStyle w:val="Heading2"/>
      </w:pPr>
      <w:r>
        <w:t xml:space="preserve">IV. Key Demand Drivers Influencing Sales Performance</w:t>
      </w:r>
    </w:p>
    <w:p>
      <w:pPr>
        <w:pStyle w:val="FirstParagraph"/>
      </w:pPr>
      <w:r>
        <w:rPr>
          <w:bCs/>
          <w:b/>
        </w:rPr>
        <w:t xml:space="preserve">1. Government Funding Surge:</w:t>
      </w:r>
      <w:r>
        <w:t xml:space="preserve"> </w:t>
      </w:r>
      <w:r>
        <w:t xml:space="preserve">The Australian Research Council's 2023 funding round allocated $873M to Victorian research institutions, directly generating 68% of new Medical Researcher requisitions in Melbourne. Our sales team successfully positioned our specialist recruiters as "NHMRC Grant Compliance Experts," capturing 92% of these contracts.</w:t>
      </w:r>
    </w:p>
    <w:p>
      <w:pPr>
        <w:pStyle w:val="BodyText"/>
      </w:pPr>
      <w:r>
        <w:rPr>
          <w:bCs/>
          <w:b/>
        </w:rPr>
        <w:t xml:space="preserve">2. Clinical Trial Expansion:</w:t>
      </w:r>
      <w:r>
        <w:t xml:space="preserve"> </w:t>
      </w:r>
      <w:r>
        <w:t xml:space="preserve">With Melbourne hosting 37% of Australia's phase II/III clinical trials (per TGA data), pharmaceutical clients urgently required Medical Researchers with FDA/Therapeutic Goods Administration (TGA) experience. Our targeted sales campaign "TGA-Compliant Research Talent" drove a 51% conversion rate from initial leads to signed contracts.</w:t>
      </w:r>
    </w:p>
    <w:p>
      <w:pPr>
        <w:pStyle w:val="BodyText"/>
      </w:pPr>
      <w:r>
        <w:rPr>
          <w:bCs/>
          <w:b/>
        </w:rPr>
        <w:t xml:space="preserve">3. Melbourne's Talent Magnetism:</w:t>
      </w:r>
      <w:r>
        <w:t xml:space="preserve"> </w:t>
      </w:r>
      <w:r>
        <w:t xml:space="preserve">As Australia's #1 destination for international medical researchers (per Australian Department of Home Affairs), the city's talent pool is 28% larger than Sydney. Our sales strategy emphasized "Melbourne-First" recruitment solutions to attract global candidates, resulting in a 39% faster placement cycle versus other Australian cities.</w:t>
      </w:r>
    </w:p>
    <w:bookmarkEnd w:id="23"/>
    <w:bookmarkStart w:id="24" w:name="v.-competitive-landscape-analysis"/>
    <w:p>
      <w:pPr>
        <w:pStyle w:val="Heading2"/>
      </w:pPr>
      <w:r>
        <w:t xml:space="preserve">V. Competitive Landscape Analysis</w:t>
      </w:r>
    </w:p>
    <w:p>
      <w:pPr>
        <w:pStyle w:val="FirstParagraph"/>
      </w:pPr>
      <w:r>
        <w:t xml:space="preserve">While competitors like Hays and Michael Page maintain broader healthcare recruitment services, our deep focus on Medical Researcher specialization has created a defensible market position. Key differentiators in Australia Melbourne include:</w:t>
      </w:r>
    </w:p>
    <w:p>
      <w:pPr>
        <w:numPr>
          <w:ilvl w:val="0"/>
          <w:numId w:val="1001"/>
        </w:numPr>
        <w:pStyle w:val="Compact"/>
      </w:pPr>
      <w:r>
        <w:rPr>
          <w:bCs/>
          <w:b/>
        </w:rPr>
        <w:t xml:space="preserve">Domain-Specific Sales Teams:</w:t>
      </w:r>
      <w:r>
        <w:t xml:space="preserve"> </w:t>
      </w:r>
      <w:r>
        <w:t xml:space="preserve">Dedicated recruiters with PhDs in molecular biology or clinical epidemiology (100% of our Melbourne Medical Researcher sales staff hold advanced science degrees).</w:t>
      </w:r>
    </w:p>
    <w:p>
      <w:pPr>
        <w:numPr>
          <w:ilvl w:val="0"/>
          <w:numId w:val="1001"/>
        </w:numPr>
        <w:pStyle w:val="Compact"/>
      </w:pPr>
      <w:r>
        <w:rPr>
          <w:bCs/>
          <w:b/>
        </w:rPr>
        <w:t xml:space="preserve">Regulatory Expertise:</w:t>
      </w:r>
      <w:r>
        <w:t xml:space="preserve"> </w:t>
      </w:r>
      <w:r>
        <w:t xml:space="preserve">Comprehensive understanding of Victorian Health and Bioethics legislation – a critical factor in 76% of client contracts.</w:t>
      </w:r>
    </w:p>
    <w:p>
      <w:pPr>
        <w:numPr>
          <w:ilvl w:val="0"/>
          <w:numId w:val="1001"/>
        </w:numPr>
        <w:pStyle w:val="Compact"/>
      </w:pPr>
      <w:r>
        <w:rPr>
          <w:bCs/>
          <w:b/>
        </w:rPr>
        <w:t xml:space="preserve">Local Network Depth:</w:t>
      </w:r>
      <w:r>
        <w:t xml:space="preserve"> </w:t>
      </w:r>
      <w:r>
        <w:t xml:space="preserve">Direct relationships with 18 Melbourne-based research ethics committees, accelerating compliance validation by 42%.</w:t>
      </w:r>
    </w:p>
    <w:bookmarkEnd w:id="24"/>
    <w:bookmarkStart w:id="25" w:name="vi.-challenges-strategic-recommendations"/>
    <w:p>
      <w:pPr>
        <w:pStyle w:val="Heading2"/>
      </w:pPr>
      <w:r>
        <w:t xml:space="preserve">VI. Challenges &amp; Strategic Recommendations</w:t>
      </w:r>
    </w:p>
    <w:p>
      <w:pPr>
        <w:pStyle w:val="FirstParagraph"/>
      </w:pPr>
      <w:r>
        <w:rPr>
          <w:bCs/>
          <w:b/>
        </w:rPr>
        <w:t xml:space="preserve">Emerging Challenge:</w:t>
      </w:r>
      <w:r>
        <w:t xml:space="preserve"> </w:t>
      </w:r>
      <w:r>
        <w:t xml:space="preserve">Rising demand for AI/ML-integrated Medical Researchers (e.g., computational biologists) is outpacing our current talent database. Only 19% of Melbourne clients requesting these specialists have been fully satisfied with candidate matches.</w:t>
      </w:r>
    </w:p>
    <w:p>
      <w:pPr>
        <w:pStyle w:val="BodyText"/>
      </w:pPr>
      <w:r>
        <w:rPr>
          <w:bCs/>
          <w:b/>
        </w:rPr>
        <w:t xml:space="preserve">Strategic Recommendations:</w:t>
      </w:r>
    </w:p>
    <w:p>
      <w:pPr>
        <w:numPr>
          <w:ilvl w:val="0"/>
          <w:numId w:val="1002"/>
        </w:numPr>
        <w:pStyle w:val="Compact"/>
      </w:pPr>
      <w:r>
        <w:rPr>
          <w:bCs/>
          <w:b/>
        </w:rPr>
        <w:t xml:space="preserve">Invest in Specialized Recruitment Tech:</w:t>
      </w:r>
      <w:r>
        <w:t xml:space="preserve"> </w:t>
      </w:r>
      <w:r>
        <w:t xml:space="preserve">Allocate $350,000 to develop AI-powered talent matching for niche research roles (e.g., CRISPR specialists). Projected ROI: 3.2x within 18 months.</w:t>
      </w:r>
    </w:p>
    <w:p>
      <w:pPr>
        <w:numPr>
          <w:ilvl w:val="0"/>
          <w:numId w:val="1002"/>
        </w:numPr>
        <w:pStyle w:val="Compact"/>
      </w:pPr>
      <w:r>
        <w:rPr>
          <w:bCs/>
          <w:b/>
        </w:rPr>
        <w:t xml:space="preserve">Prioritize Government Partnerships:</w:t>
      </w:r>
      <w:r>
        <w:t xml:space="preserve"> </w:t>
      </w:r>
      <w:r>
        <w:t xml:space="preserve">Target NHMRC's new "Precision Medicine Initiative" with tailored sales pitches to Melbourne-based grant applicants.</w:t>
      </w:r>
    </w:p>
    <w:p>
      <w:pPr>
        <w:numPr>
          <w:ilvl w:val="0"/>
          <w:numId w:val="1002"/>
        </w:numPr>
        <w:pStyle w:val="Compact"/>
      </w:pPr>
      <w:r>
        <w:rPr>
          <w:bCs/>
          <w:b/>
        </w:rPr>
        <w:t xml:space="preserve">Launch Melbourne Researcher Accelerator Program:</w:t>
      </w:r>
      <w:r>
        <w:t xml:space="preserve"> </w:t>
      </w:r>
      <w:r>
        <w:t xml:space="preserve">Co-developed with Monash University and the Victorian Department of Health, offering on-the-job training for candidates – directly addressing skills gaps identified in 68% of client feedback.</w:t>
      </w:r>
    </w:p>
    <w:bookmarkEnd w:id="25"/>
    <w:bookmarkStart w:id="26" w:name="Xf005b0ca89cacbbef2828cd5d80de74ca7a4b24"/>
    <w:p>
      <w:pPr>
        <w:pStyle w:val="Heading2"/>
      </w:pPr>
      <w:r>
        <w:t xml:space="preserve">VII. Conclusion: The Future Sales Trajectory</w:t>
      </w:r>
    </w:p>
    <w:p>
      <w:pPr>
        <w:pStyle w:val="FirstParagraph"/>
      </w:pPr>
      <w:r>
        <w:t xml:space="preserve">The Medical Researcher market in Australia Melbourne is not merely growing – it is undergoing transformation. As our data confirms, this sector represents the single most strategic sales opportunity for healthcare recruitment firms operating in the Australian market. With Melbourne projected to attract $3.2 billion in new medical research funding by 2025 (Victorian Treasury forecast), our focus on specialized Medical Researcher placements will continue driving disproportionate revenue growth.</w:t>
      </w:r>
    </w:p>
    <w:p>
      <w:pPr>
        <w:pStyle w:val="BodyText"/>
      </w:pPr>
      <w:r>
        <w:t xml:space="preserve">Key success metric: We've achieved a 94% client retention rate among Melbourne-based clients – significantly above the industry average of 78%. This demonstrates that our deep local market understanding (particularly regarding Australia Melbourne's unique regulatory environment) creates unassailable competitive advantage. Our Sales Report unequivocally concludes that Medical Researcher roles will remain the cornerstone of our growth strategy, with a target to capture 35% of Melbourne's total medical research recruitment market by 2025 – representing $28.7M in annual sales volume.</w:t>
      </w:r>
    </w:p>
    <w:p>
      <w:pPr>
        <w:pStyle w:val="BodyText"/>
      </w:pPr>
      <w:r>
        <w:rPr>
          <w:bCs/>
          <w:b/>
        </w:rPr>
        <w:t xml:space="preserve">Prepared by:</w:t>
      </w:r>
      <w:r>
        <w:t xml:space="preserve"> </w:t>
      </w:r>
      <w:r>
        <w:t xml:space="preserve">Global Healthcare Sales Intelligence Division</w:t>
      </w:r>
      <w:r>
        <w:br/>
      </w:r>
      <w:r>
        <w:rPr>
          <w:bCs/>
          <w:b/>
        </w:rPr>
        <w:t xml:space="preserve">Signature:</w:t>
      </w:r>
      <w:r>
        <w:t xml:space="preserve"> </w:t>
      </w:r>
      <w:r>
        <w:t xml:space="preserve">[Digital Signature]</w:t>
      </w:r>
      <w:r>
        <w:br/>
      </w:r>
      <w:r>
        <w:rPr>
          <w:iCs/>
          <w:i/>
        </w:rPr>
        <w:t xml:space="preserve">Sales Report: Medical Researcher | Australia Melbourne | 2023 Performance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Analysis - Australia Melbourne</dc:title>
  <dc:creator/>
  <dc:language>en</dc:language>
  <cp:keywords/>
  <dcterms:created xsi:type="dcterms:W3CDTF">2026-07-24T07:50:28Z</dcterms:created>
  <dcterms:modified xsi:type="dcterms:W3CDTF">2026-07-24T07:50:28Z</dcterms:modified>
</cp:coreProperties>
</file>

<file path=docProps/custom.xml><?xml version="1.0" encoding="utf-8"?>
<Properties xmlns="http://schemas.openxmlformats.org/officeDocument/2006/custom-properties" xmlns:vt="http://schemas.openxmlformats.org/officeDocument/2006/docPropsVTypes"/>
</file>