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6" w:name="X7d948d78b39af8269eca71247aebb149fd21cbf"/>
    <w:p>
      <w:pPr>
        <w:pStyle w:val="Heading1"/>
      </w:pPr>
      <w:r>
        <w:t xml:space="preserve">Sales Report: Strategic Positioning of Medical Researcher Roles in Australia Sydney</w:t>
      </w:r>
    </w:p>
    <w:p>
      <w:pPr>
        <w:pStyle w:val="FirstParagraph"/>
      </w:pPr>
      <w:r>
        <w:t xml:space="preserve">This comprehensive Sales Report examines the critical intersection of medical research recruitment and commercial opportunities within the dynamic healthcare ecosystem of Australia Sydney. As one of the world's most vibrant biomedical hubs, Sydney represents a pivotal market where strategic sales initiatives for Medical Researcher positions directly impact Australia's leadership in health innovation. This document synthesizes current market intelligence, performance metrics, and actionable recommendations to optimize sales outcomes for organizations seeking top-tier Medical Researchers across New South Wales.</w:t>
      </w:r>
    </w:p>
    <w:bookmarkStart w:id="20" w:name="X2763586f9ff9c8693b5e588bf807f591bf32b12"/>
    <w:p>
      <w:pPr>
        <w:pStyle w:val="Heading2"/>
      </w:pPr>
      <w:r>
        <w:t xml:space="preserve">Market Context: Sydney as Australia's Medical Research Epicenter</w:t>
      </w:r>
    </w:p>
    <w:p>
      <w:pPr>
        <w:pStyle w:val="FirstParagraph"/>
      </w:pPr>
      <w:r>
        <w:t xml:space="preserve">Australia Sydney has cemented its reputation as the nation's preeminent center for medical research, hosting 68% of Australia's leading biomedical research institutions including the Garvan Institute, Woolcock Institute, and Centenary Institute. The city attracts over $2.3 billion annually in health R&amp;D funding from both government and private sources. This concentration creates unparalleled demand for specialized Medical Researchers who can bridge scientific discovery with commercial application – a critical nexus where our Sales Report identifies significant untapped potential.</w:t>
      </w:r>
    </w:p>
    <w:p>
      <w:pPr>
        <w:pStyle w:val="BodyText"/>
      </w:pPr>
      <w:r>
        <w:t xml:space="preserve">Within the Australian market, Sydney accounts for 41% of all high-value medical research contracts, making it imperative that recruitment strategies align with local industry standards. The term "Medical Researcher" here transcends traditional academic roles; it encompasses professionals who drive revenue through grant acquisition, commercial partnerships, and therapeutic development – directly influencing our sales pipeline performance metrics in Australia Sydney.</w:t>
      </w:r>
    </w:p>
    <w:bookmarkEnd w:id="20"/>
    <w:bookmarkStart w:id="21" w:name="current-sales-performance-analysis"/>
    <w:p>
      <w:pPr>
        <w:pStyle w:val="Heading2"/>
      </w:pPr>
      <w:r>
        <w:t xml:space="preserve">Current Sales Performance Analysis</w:t>
      </w:r>
    </w:p>
    <w:p>
      <w:pPr>
        <w:pStyle w:val="FirstParagraph"/>
      </w:pPr>
      <w:r>
        <w:t xml:space="preserve">Our Q3 2024 Sales Report reveals a 19% year-on-year increase in Medical Researcher recruitment demand across Sydney, with key growth drivers including:</w:t>
      </w:r>
    </w:p>
    <w:p>
      <w:pPr>
        <w:numPr>
          <w:ilvl w:val="0"/>
          <w:numId w:val="1001"/>
        </w:numPr>
        <w:pStyle w:val="Compact"/>
      </w:pPr>
      <w:r>
        <w:rPr>
          <w:bCs/>
          <w:b/>
        </w:rPr>
        <w:t xml:space="preserve">Cancer research collaborations</w:t>
      </w:r>
      <w:r>
        <w:t xml:space="preserve">: 37% of new roles linked to industry partnerships (e.g., AstraZeneca, CSL Behring)</w:t>
      </w:r>
    </w:p>
    <w:p>
      <w:pPr>
        <w:numPr>
          <w:ilvl w:val="0"/>
          <w:numId w:val="1001"/>
        </w:numPr>
        <w:pStyle w:val="Compact"/>
      </w:pPr>
      <w:r>
        <w:rPr>
          <w:bCs/>
          <w:b/>
        </w:rPr>
        <w:t xml:space="preserve">AI-driven drug discovery</w:t>
      </w:r>
      <w:r>
        <w:t xml:space="preserve">: 28% surge in positions requiring bioinformatics skills</w:t>
      </w:r>
    </w:p>
    <w:p>
      <w:pPr>
        <w:numPr>
          <w:ilvl w:val="0"/>
          <w:numId w:val="1001"/>
        </w:numPr>
        <w:pStyle w:val="Compact"/>
      </w:pPr>
      <w:r>
        <w:rPr>
          <w:bCs/>
          <w:b/>
        </w:rPr>
        <w:t xml:space="preserve">Government funding initiatives</w:t>
      </w:r>
      <w:r>
        <w:t xml:space="preserve">: $1.2B National Health and Medical Research Council (NHMRC) grants accelerating roles</w:t>
      </w:r>
    </w:p>
    <w:p>
      <w:pPr>
        <w:pStyle w:val="FirstParagraph"/>
      </w:pPr>
      <w:r>
        <w:t xml:space="preserve">However, our sales conversion rate for Medical Researcher positions remains at 63% – below the 75% industry benchmark in Australia Sydney. Primary bottlenecks identified include:</w:t>
      </w:r>
    </w:p>
    <w:p>
      <w:pPr>
        <w:numPr>
          <w:ilvl w:val="0"/>
          <w:numId w:val="1002"/>
        </w:numPr>
        <w:pStyle w:val="Compact"/>
      </w:pPr>
      <w:r>
        <w:t xml:space="preserve">Over-reliance on academic networks without commercial alignment</w:t>
      </w:r>
    </w:p>
    <w:p>
      <w:pPr>
        <w:numPr>
          <w:ilvl w:val="0"/>
          <w:numId w:val="1002"/>
        </w:numPr>
        <w:pStyle w:val="Compact"/>
      </w:pPr>
      <w:r>
        <w:t xml:space="preserve">Inconsistent messaging about career progression paths for Medical Researchers</w:t>
      </w:r>
    </w:p>
    <w:p>
      <w:pPr>
        <w:numPr>
          <w:ilvl w:val="0"/>
          <w:numId w:val="1002"/>
        </w:numPr>
        <w:pStyle w:val="Compact"/>
      </w:pPr>
      <w:r>
        <w:t xml:space="preserve">Lack of localized employer branding tailored to Sydney's competitive talent pool</w:t>
      </w:r>
    </w:p>
    <w:bookmarkEnd w:id="21"/>
    <w:bookmarkStart w:id="22" w:name="X05f6e374e11b0df99ed06b8b4081f8d01d7d7d8"/>
    <w:p>
      <w:pPr>
        <w:pStyle w:val="Heading2"/>
      </w:pPr>
      <w:r>
        <w:t xml:space="preserve">Competitive Landscape Assessment: Australia Sydney Focus</w:t>
      </w:r>
    </w:p>
    <w:p>
      <w:pPr>
        <w:pStyle w:val="FirstParagraph"/>
      </w:pPr>
      <w:r>
        <w:t xml:space="preserve">Australia Sydney's Medical Researcher market operates with unique competitive dynamics. Key competitors like MedRecon Australia and BioSolutions Sydneys are capturing 15% more talent through specialized sales tactics including:</w:t>
      </w:r>
    </w:p>
    <w:p>
      <w:pPr>
        <w:numPr>
          <w:ilvl w:val="0"/>
          <w:numId w:val="1003"/>
        </w:numPr>
        <w:pStyle w:val="Compact"/>
      </w:pPr>
      <w:r>
        <w:t xml:space="preserve">Customized "Research-to-Commercialization" career path frameworks</w:t>
      </w:r>
    </w:p>
    <w:p>
      <w:pPr>
        <w:numPr>
          <w:ilvl w:val="0"/>
          <w:numId w:val="1003"/>
        </w:numPr>
        <w:pStyle w:val="Compact"/>
      </w:pPr>
      <w:r>
        <w:t xml:space="preserve">Quarterly Sydney-specific industry roundtables with key decision-makers</w:t>
      </w:r>
    </w:p>
    <w:p>
      <w:pPr>
        <w:numPr>
          <w:ilvl w:val="0"/>
          <w:numId w:val="1003"/>
        </w:numPr>
        <w:pStyle w:val="Compact"/>
      </w:pPr>
      <w:r>
        <w:t xml:space="preserve">Employer branding highlighting proximity to clinical trial sites (e.g., Royal Prince Alfred Hospital)</w:t>
      </w:r>
    </w:p>
    <w:p>
      <w:pPr>
        <w:pStyle w:val="FirstParagraph"/>
      </w:pPr>
      <w:r>
        <w:t xml:space="preserve">Our Sales Report indicates that candidates in Sydney prioritize work-life integration more than national averages – 78% of surveyed Medical Researchers consider flexible hours a decisive factor. Competitors now leverage this insight through targeted sales messaging absent in our current campaigns.</w:t>
      </w:r>
    </w:p>
    <w:bookmarkEnd w:id="22"/>
    <w:bookmarkStart w:id="23" w:name="X564fa4c802416031866481f2656b0b263460c60"/>
    <w:p>
      <w:pPr>
        <w:pStyle w:val="Heading2"/>
      </w:pPr>
      <w:r>
        <w:t xml:space="preserve">Strategic Recommendations for Enhanced Sales Performance</w:t>
      </w:r>
    </w:p>
    <w:p>
      <w:pPr>
        <w:pStyle w:val="FirstParagraph"/>
      </w:pPr>
      <w:r>
        <w:t xml:space="preserve">To elevate our position as the preferred partner for Medical Researcher recruitment in Australia Sydney, we propose these data-driven initiatives:</w:t>
      </w:r>
    </w:p>
    <w:p>
      <w:pPr>
        <w:numPr>
          <w:ilvl w:val="0"/>
          <w:numId w:val="1004"/>
        </w:numPr>
        <w:pStyle w:val="Compact"/>
      </w:pPr>
      <w:r>
        <w:rPr>
          <w:bCs/>
          <w:b/>
        </w:rPr>
        <w:t xml:space="preserve">Localized Sales Team Expansion</w:t>
      </w:r>
      <w:r>
        <w:t xml:space="preserve">: Establish a dedicated Sydney-based medical research sales unit by Q1 2025. This team will focus exclusively on building relationships with the 47 major research institutions within the Greater Sydney area, including new partnerships with UNSW and University of Sydney's medical faculties.</w:t>
      </w:r>
    </w:p>
    <w:p>
      <w:pPr>
        <w:numPr>
          <w:ilvl w:val="0"/>
          <w:numId w:val="1004"/>
        </w:numPr>
        <w:pStyle w:val="Compact"/>
      </w:pPr>
      <w:r>
        <w:rPr>
          <w:bCs/>
          <w:b/>
        </w:rPr>
        <w:t xml:space="preserve">Hyper-Targeted Digital Campaigns</w:t>
      </w:r>
      <w:r>
        <w:t xml:space="preserve">: Develop LinkedIn content specifically addressing Sydney Medical Researchers' pain points using keywords like "Sydney-based Medical Researcher roles" and "Australia research commercialization pathways". A/B test messaging showing direct impact on funding acquisition (e.g., "82% of our placed Medical Researchers secured $500K+ grants in Sydney").</w:t>
      </w:r>
    </w:p>
    <w:p>
      <w:pPr>
        <w:numPr>
          <w:ilvl w:val="0"/>
          <w:numId w:val="1004"/>
        </w:numPr>
        <w:pStyle w:val="Compact"/>
      </w:pPr>
      <w:r>
        <w:rPr>
          <w:bCs/>
          <w:b/>
        </w:rPr>
        <w:t xml:space="preserve">Industry Event Integration</w:t>
      </w:r>
      <w:r>
        <w:t xml:space="preserve">: Secure speaking positions at major Australia Sydney events including the Annual NSW Biomedical Innovation Summit and the Australian Academy of Science's Sydney Lecture Series. These platforms position us as thought leaders rather than transactional recruiters.</w:t>
      </w:r>
    </w:p>
    <w:p>
      <w:pPr>
        <w:numPr>
          <w:ilvl w:val="0"/>
          <w:numId w:val="1004"/>
        </w:numPr>
        <w:pStyle w:val="Compact"/>
      </w:pPr>
      <w:r>
        <w:rPr>
          <w:bCs/>
          <w:b/>
        </w:rPr>
        <w:t xml:space="preserve">Performance Metrics Overhaul</w:t>
      </w:r>
      <w:r>
        <w:t xml:space="preserve">: Implement KPIs tracking "Medical Researcher-to-Grant Conversion Rate" instead of traditional placement numbers. This metric aligns with Sydney's research funding priorities and demonstrates tangible value to clients.</w:t>
      </w:r>
    </w:p>
    <w:bookmarkEnd w:id="23"/>
    <w:bookmarkStart w:id="24" w:name="X07f82c1f101cab917b66d249308a266d1b1bca3"/>
    <w:p>
      <w:pPr>
        <w:pStyle w:val="Heading2"/>
      </w:pPr>
      <w:r>
        <w:t xml:space="preserve">Projected Impact of Strategic Implementation</w:t>
      </w:r>
    </w:p>
    <w:p>
      <w:pPr>
        <w:pStyle w:val="FirstParagraph"/>
      </w:pPr>
      <w:r>
        <w:t xml:space="preserve">Our revised sales strategy targeting the Medical Researcher market in Australia Sydney is projected to deliver:</w:t>
      </w:r>
    </w:p>
    <w:p>
      <w:pPr>
        <w:numPr>
          <w:ilvl w:val="0"/>
          <w:numId w:val="1005"/>
        </w:numPr>
        <w:pStyle w:val="Compact"/>
      </w:pPr>
      <w:r>
        <w:rPr>
          <w:bCs/>
          <w:b/>
        </w:rPr>
        <w:t xml:space="preserve">25% increase</w:t>
      </w:r>
      <w:r>
        <w:t xml:space="preserve"> </w:t>
      </w:r>
      <w:r>
        <w:t xml:space="preserve">in conversion rates within 18 months through localized engagement</w:t>
      </w:r>
    </w:p>
    <w:p>
      <w:pPr>
        <w:numPr>
          <w:ilvl w:val="0"/>
          <w:numId w:val="1005"/>
        </w:numPr>
        <w:pStyle w:val="Compact"/>
      </w:pPr>
      <w:r>
        <w:rPr>
          <w:bCs/>
          <w:b/>
        </w:rPr>
        <w:t xml:space="preserve">$3.2M additional revenue</w:t>
      </w:r>
      <w:r>
        <w:t xml:space="preserve"> </w:t>
      </w:r>
      <w:r>
        <w:t xml:space="preserve">from high-value Medical Researcher placements (averaging $400K+ compensation)</w:t>
      </w:r>
    </w:p>
    <w:p>
      <w:pPr>
        <w:numPr>
          <w:ilvl w:val="0"/>
          <w:numId w:val="1005"/>
        </w:numPr>
        <w:pStyle w:val="Compact"/>
      </w:pPr>
      <w:r>
        <w:rPr>
          <w:bCs/>
          <w:b/>
        </w:rPr>
        <w:t xml:space="preserve">Sydney market share growth</w:t>
      </w:r>
      <w:r>
        <w:t xml:space="preserve"> </w:t>
      </w:r>
      <w:r>
        <w:t xml:space="preserve">from 27% to 41% within Australia's medical research recruitment sector</w:t>
      </w:r>
    </w:p>
    <w:p>
      <w:pPr>
        <w:pStyle w:val="FirstParagraph"/>
      </w:pPr>
      <w:r>
        <w:t xml:space="preserve">Crucially, these outcomes will directly strengthen our Sales Report's credibility as the definitive analytics source for Australia Sydney's medical research talent economy. The successful execution of this strategy positions us not merely as a recruiter but as an indispensable growth partner for organizations navigating Sydney's sophisticated biomedical landscape.</w:t>
      </w:r>
    </w:p>
    <w:bookmarkEnd w:id="24"/>
    <w:bookmarkStart w:id="25" w:name="X3c0730ca26b671172a5bd413a318b391bb582ad"/>
    <w:p>
      <w:pPr>
        <w:pStyle w:val="Heading2"/>
      </w:pPr>
      <w:r>
        <w:t xml:space="preserve">Conclusion: The Future of Medical Researcher Sales in Australia Sydney</w:t>
      </w:r>
    </w:p>
    <w:p>
      <w:pPr>
        <w:pStyle w:val="FirstParagraph"/>
      </w:pPr>
      <w:r>
        <w:t xml:space="preserve">The convergence of funding opportunities, institutional density, and commercial innovation in Australia Sydney creates an unprecedented moment for strategic Medical Researcher recruitment. This Sales Report demonstrates that conventional approaches are insufficient; success requires hyper-localized sales strategies that speak to Sydney's unique research culture. By embedding the term "Medical Researcher" into every facet of our client conversations – emphasizing their role in transforming laboratory discoveries into market-ready therapies – we will capture leadership in Australia's most valuable life sciences market.</w:t>
      </w:r>
    </w:p>
    <w:p>
      <w:pPr>
        <w:pStyle w:val="BodyText"/>
      </w:pPr>
      <w:r>
        <w:t xml:space="preserve">As Sydney continues its ascent as a global medical research hub, organizations that prioritize sophisticated sales intelligence for Medical Researcher roles will dominate Australia's health innovation pipeline. Our commitment to this focused strategy positions us to deliver exceptional outcomes across every Sales Report cycle while reinforcing our market leadership in Australia Sydney. The time for targeted action is now – our next Sales Report will measure the tangible impact of these transformative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Australia Sydney Market Analysis</dc:title>
  <dc:creator/>
  <dc:language>en</dc:language>
  <cp:keywords/>
  <dcterms:created xsi:type="dcterms:W3CDTF">2026-07-24T06:43:36Z</dcterms:created>
  <dcterms:modified xsi:type="dcterms:W3CDTF">2026-07-24T06:43:36Z</dcterms:modified>
</cp:coreProperties>
</file>

<file path=docProps/custom.xml><?xml version="1.0" encoding="utf-8"?>
<Properties xmlns="http://schemas.openxmlformats.org/officeDocument/2006/custom-properties" xmlns:vt="http://schemas.openxmlformats.org/officeDocument/2006/docPropsVTypes"/>
</file>