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Engagement</w:t>
      </w:r>
      <w:r>
        <w:t xml:space="preserve"> </w:t>
      </w:r>
      <w:r>
        <w:t xml:space="preserve">Strategy</w:t>
      </w:r>
      <w:r>
        <w:t xml:space="preserve"> </w:t>
      </w:r>
      <w:r>
        <w:t xml:space="preserve">in</w:t>
      </w:r>
      <w:r>
        <w:t xml:space="preserve"> </w:t>
      </w:r>
      <w:r>
        <w:t xml:space="preserve">Bangladesh</w:t>
      </w:r>
      <w:r>
        <w:t xml:space="preserve"> </w:t>
      </w:r>
      <w:r>
        <w:t xml:space="preserve">Dhaka</w:t>
      </w:r>
    </w:p>
    <w:bookmarkStart w:id="32" w:name="Xa7784bf421b52d860c5ca8db20d6af7f72b269d"/>
    <w:p>
      <w:pPr>
        <w:pStyle w:val="Heading1"/>
      </w:pPr>
      <w:r>
        <w:t xml:space="preserve">Sales Report: Strategic Market Analysis for Medical Researcher Engagement in Bangladesh Dhaka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Solutions International (GHSI) Executive Board</w:t>
      </w:r>
      <w:r>
        <w:br/>
      </w:r>
      <w:r>
        <w:rPr>
          <w:bCs/>
          <w:b/>
        </w:rPr>
        <w:t xml:space="preserve">Location Focus:</w:t>
      </w:r>
      <w:r>
        <w:t xml:space="preserve"> </w:t>
      </w:r>
      <w:r>
        <w:t xml:space="preserve">Dhaka, Bangladesh</w:t>
      </w:r>
    </w:p>
    <w:bookmarkStart w:id="20" w:name="i.-executive-summary"/>
    <w:p>
      <w:pPr>
        <w:pStyle w:val="Heading2"/>
      </w:pPr>
      <w:r>
        <w:t xml:space="preserve">I. Executive Summary</w:t>
      </w:r>
    </w:p>
    <w:p>
      <w:pPr>
        <w:pStyle w:val="FirstParagraph"/>
      </w:pPr>
      <w:r>
        <w:t xml:space="preserve">This report details the strategic sales opportunity for pharmaceutical and biotechnology firms targeting medical researchers across Dhaka, Bangladesh. With a rapidly growing healthcare market and increasing investment in biomedical research, Dhaka has emerged as the epicenter of medical innovation in South Asia. Our analysis confirms that aligning sales strategies with the specific needs of</w:t>
      </w:r>
      <w:r>
        <w:t xml:space="preserve"> </w:t>
      </w:r>
      <w:r>
        <w:rPr>
          <w:bCs/>
          <w:b/>
        </w:rPr>
        <w:t xml:space="preserve">Medical Researcher</w:t>
      </w:r>
      <w:r>
        <w:t xml:space="preserve"> </w:t>
      </w:r>
      <w:r>
        <w:t xml:space="preserve">communities in</w:t>
      </w:r>
      <w:r>
        <w:t xml:space="preserve"> </w:t>
      </w:r>
      <w:r>
        <w:rPr>
          <w:bCs/>
          <w:b/>
        </w:rPr>
        <w:t xml:space="preserve">Bangladesh Dhaka</w:t>
      </w:r>
      <w:r>
        <w:t xml:space="preserve"> </w:t>
      </w:r>
      <w:r>
        <w:t xml:space="preserve">is critical for market penetration. Currently, only 12% of local research institutions have consistent access to advanced research tools, representing a $47M annual sales opportunity. Immediate action is required to capture this high-potential segment.</w:t>
      </w:r>
    </w:p>
    <w:bookmarkEnd w:id="20"/>
    <w:bookmarkStart w:id="22" w:name="X0c888bf21351869b8589083503ede4c42013d57"/>
    <w:p>
      <w:pPr>
        <w:pStyle w:val="Heading2"/>
      </w:pPr>
      <w:r>
        <w:t xml:space="preserve">II. Market Context: Bangladesh Dhaka's Research Landscape</w:t>
      </w:r>
    </w:p>
    <w:p>
      <w:pPr>
        <w:pStyle w:val="FirstParagraph"/>
      </w:pPr>
      <w:r>
        <w:t xml:space="preserve">Dhaka houses 68% of Bangladesh's medical research institutions, including the prestigious International Centre for Diarrhoeal Disease Research, Bangladesh (ICDDR,B), Bangabandhu Sheikh Mujib Medical University (BSMMU), and BIRDEM. These centers face critical resource constraints: 73% report inadequate funding for cutting-edge equipment, while 89% require faster access to clinical trial materials. The national healthcare budget allocation for research has increased by 22% annually since 2020, directly fueling demand from</w:t>
      </w:r>
      <w:r>
        <w:t xml:space="preserve"> </w:t>
      </w:r>
      <w:r>
        <w:rPr>
          <w:bCs/>
          <w:b/>
        </w:rPr>
        <w:t xml:space="preserve">Medical Researcher</w:t>
      </w:r>
      <w:r>
        <w:t xml:space="preserve"> </w:t>
      </w:r>
      <w:r>
        <w:t xml:space="preserve">teams. With Dhaka's population exceeding 21 million and rising non-communicable diseases (diabetes, cardiovascular conditions), the urgency for locally relevant medical research has never been higher.</w:t>
      </w:r>
    </w:p>
    <w:bookmarkStart w:id="21" w:name="key-market-indicators"/>
    <w:p>
      <w:pPr>
        <w:pStyle w:val="Heading3"/>
      </w:pPr>
      <w:r>
        <w:t xml:space="preserve">Key Market Indicators:</w:t>
      </w:r>
    </w:p>
    <w:p>
      <w:pPr>
        <w:numPr>
          <w:ilvl w:val="0"/>
          <w:numId w:val="1001"/>
        </w:numPr>
        <w:pStyle w:val="Compact"/>
      </w:pPr>
      <w:r>
        <w:rPr>
          <w:bCs/>
          <w:b/>
        </w:rPr>
        <w:t xml:space="preserve">Disease Burden:</w:t>
      </w:r>
      <w:r>
        <w:t xml:space="preserve"> </w:t>
      </w:r>
      <w:r>
        <w:t xml:space="preserve">Dhaka accounts for 41% of Bangladesh's cancer cases; researchers urgently need oncology-specific reagents and diagnostic tools.</w:t>
      </w:r>
    </w:p>
    <w:p>
      <w:pPr>
        <w:numPr>
          <w:ilvl w:val="0"/>
          <w:numId w:val="1001"/>
        </w:numPr>
        <w:pStyle w:val="Compact"/>
      </w:pPr>
      <w:r>
        <w:rPr>
          <w:bCs/>
          <w:b/>
        </w:rPr>
        <w:t xml:space="preserve">Infrastructure Gap:</w:t>
      </w:r>
      <w:r>
        <w:t xml:space="preserve"> </w:t>
      </w:r>
      <w:r>
        <w:t xml:space="preserve">Only 37% of Dhaka research labs have accredited molecular diagnostics capabilities.</w:t>
      </w:r>
    </w:p>
    <w:p>
      <w:pPr>
        <w:numPr>
          <w:ilvl w:val="0"/>
          <w:numId w:val="1001"/>
        </w:numPr>
        <w:pStyle w:val="Compact"/>
      </w:pPr>
      <w:r>
        <w:rPr>
          <w:bCs/>
          <w:b/>
        </w:rPr>
        <w:t xml:space="preserve">Clinical Trial Growth:</w:t>
      </w:r>
      <w:r>
        <w:t xml:space="preserve"> </w:t>
      </w:r>
      <w:r>
        <w:t xml:space="preserve">58 new trials initiated in Dhaka in 2023 (up from 31 in 2021), driven by local and international pharma partnerships.</w:t>
      </w:r>
    </w:p>
    <w:bookmarkEnd w:id="21"/>
    <w:bookmarkEnd w:id="22"/>
    <w:bookmarkStart w:id="24" w:name="X543f200677f7e2b704896b70b3349cfec9ec9fa"/>
    <w:p>
      <w:pPr>
        <w:pStyle w:val="Heading2"/>
      </w:pPr>
      <w:r>
        <w:t xml:space="preserve">III. Sales Performance Analysis: Current Market Position</w:t>
      </w:r>
    </w:p>
    <w:p>
      <w:pPr>
        <w:pStyle w:val="FirstParagraph"/>
      </w:pPr>
      <w:r>
        <w:t xml:space="preserve">Our current sales approach targeting Dhaka's medical researchers shows significant untapped potential. While GHSI maintains a 15% market share in diagnostic reagents, this falls short of the 35% penetration rate achieved by competitors like Thermo Fisher in Southeast Asia. The primary gap lies in relationship-building: only 28% of Dhaka researchers have engaged with our sales representatives for technical support versus 63% for regional competitors. This disconnect stems from mismatched sales strategies that fail to address local research priorities.</w:t>
      </w:r>
    </w:p>
    <w:bookmarkStart w:id="23" w:name="regional-comparison-q3-2023-sales-data"/>
    <w:p>
      <w:pPr>
        <w:pStyle w:val="Heading3"/>
      </w:pPr>
      <w:r>
        <w:t xml:space="preserve">Regional Comparison (Q3 2023 Sales Data):</w:t>
      </w:r>
    </w:p>
    <w:p>
      <w:pPr>
        <w:pStyle w:val="FirstParagraph"/>
      </w:pPr>
      <w:r>
        <w:t xml:space="preserve">Product Category</w:t>
      </w:r>
    </w:p>
    <w:p>
      <w:pPr>
        <w:pStyle w:val="BodyText"/>
      </w:pPr>
      <w:r>
        <w:t xml:space="preserve">GHSI Market Share (Dhaka)</w:t>
      </w:r>
    </w:p>
    <w:p>
      <w:pPr>
        <w:pStyle w:val="BodyText"/>
      </w:pPr>
      <w:r>
        <w:t xml:space="preserve">Regional Competitor Avg.</w:t>
      </w:r>
    </w:p>
    <w:p>
      <w:pPr>
        <w:pStyle w:val="BodyText"/>
      </w:pPr>
      <w:r>
        <w:rPr>
          <w:bCs/>
          <w:b/>
        </w:rPr>
        <w:t xml:space="preserve">Note:</w:t>
      </w:r>
      <w:r>
        <w:t xml:space="preserve"> </w:t>
      </w:r>
      <w:r>
        <w:t xml:space="preserve">Dhaka-specific data shows 42% higher demand for diabetes research tools versus national average.</w:t>
      </w:r>
    </w:p>
    <w:p>
      <w:pPr>
        <w:pStyle w:val="BodyText"/>
      </w:pPr>
      <w:r>
        <w:t xml:space="preserve">Molecular Diagnostic Kits</w:t>
      </w:r>
    </w:p>
    <w:p>
      <w:pPr>
        <w:pStyle w:val="BodyText"/>
      </w:pPr>
      <w:r>
        <w:t xml:space="preserve">18%</w:t>
      </w:r>
    </w:p>
    <w:p>
      <w:pPr>
        <w:pStyle w:val="BodyText"/>
      </w:pPr>
      <w:r>
        <w:t xml:space="preserve">39%</w:t>
      </w:r>
    </w:p>
    <w:p>
      <w:pPr>
        <w:pStyle w:val="BodyText"/>
      </w:pPr>
      <w:r>
        <w:t xml:space="preserve">Clinical Trial Management Software</w:t>
      </w:r>
    </w:p>
    <w:p>
      <w:pPr>
        <w:pStyle w:val="BodyText"/>
      </w:pPr>
      <w:r>
        <w:t xml:space="preserve">12%</w:t>
      </w:r>
    </w:p>
    <w:p>
      <w:pPr>
        <w:pStyle w:val="BodyText"/>
      </w:pPr>
      <w:r>
        <w:t xml:space="preserve">45%</w:t>
      </w:r>
    </w:p>
    <w:p>
      <w:pPr>
        <w:pStyle w:val="BodyText"/>
      </w:pPr>
      <w:r>
        <w:t xml:space="preserve">Oncology Research Reagents</w:t>
      </w:r>
    </w:p>
    <w:p>
      <w:pPr>
        <w:pStyle w:val="BodyText"/>
      </w:pPr>
      <w:r>
        <w:t xml:space="preserve">&lt; td&gt;24%&lt; td &gt;57%</w:t>
      </w:r>
    </w:p>
    <w:bookmarkEnd w:id="23"/>
    <w:bookmarkEnd w:id="24"/>
    <w:bookmarkStart w:id="25" w:name="X26d5f9cd1ec0a2ff34ab1b3f84f5569dc6a2bf1"/>
    <w:p>
      <w:pPr>
        <w:pStyle w:val="Heading2"/>
      </w:pPr>
      <w:r>
        <w:t xml:space="preserve">IV. Critical Pain Points of Medical Researchers in Dhaka</w:t>
      </w:r>
    </w:p>
    <w:p>
      <w:pPr>
        <w:pStyle w:val="FirstParagraph"/>
      </w:pPr>
      <w:r>
        <w:t xml:space="preserve">Direct engagement with 187 Dhaka-based researchers revealed three systemic challenges impacting sales conversion:</w:t>
      </w:r>
    </w:p>
    <w:p>
      <w:pPr>
        <w:numPr>
          <w:ilvl w:val="0"/>
          <w:numId w:val="1002"/>
        </w:numPr>
        <w:pStyle w:val="Compact"/>
      </w:pPr>
      <w:r>
        <w:rPr>
          <w:bCs/>
          <w:b/>
        </w:rPr>
        <w:t xml:space="preserve">Funding Constraints:</w:t>
      </w:r>
      <w:r>
        <w:t xml:space="preserve"> </w:t>
      </w:r>
      <w:r>
        <w:t xml:space="preserve">91% rely on grant funding with 6-9 month approval cycles. Sales teams must align product demonstrations with grant application timelines.</w:t>
      </w:r>
    </w:p>
    <w:p>
      <w:pPr>
        <w:numPr>
          <w:ilvl w:val="0"/>
          <w:numId w:val="1002"/>
        </w:numPr>
        <w:pStyle w:val="Compact"/>
      </w:pPr>
      <w:r>
        <w:rPr>
          <w:bCs/>
          <w:b/>
        </w:rPr>
        <w:t xml:space="preserve">Cultural Communication Barriers:</w:t>
      </w:r>
      <w:r>
        <w:t xml:space="preserve"> </w:t>
      </w:r>
      <w:r>
        <w:t xml:space="preserve">English-language technical documentation reduces adoption by 37%. Localized Bengali guides and in-person demos increase engagement by 68%.</w:t>
      </w:r>
    </w:p>
    <w:bookmarkEnd w:id="25"/>
    <w:bookmarkStart w:id="29" w:name="Xdf1aa08d00f3c265a92076918345ccdf3146b0c"/>
    <w:p>
      <w:pPr>
        <w:pStyle w:val="Heading2"/>
      </w:pPr>
      <w:r>
        <w:t xml:space="preserve">V. Actionable Strategy for Dhaka Market Success</w:t>
      </w:r>
    </w:p>
    <w:p>
      <w:pPr>
        <w:pStyle w:val="FirstParagraph"/>
      </w:pPr>
      <w:r>
        <w:t xml:space="preserve">To dominate the</w:t>
      </w:r>
      <w:r>
        <w:t xml:space="preserve"> </w:t>
      </w:r>
      <w:r>
        <w:rPr>
          <w:bCs/>
          <w:b/>
        </w:rPr>
        <w:t xml:space="preserve">Medical Researcher</w:t>
      </w:r>
      <w:r>
        <w:t xml:space="preserve"> </w:t>
      </w:r>
      <w:r>
        <w:t xml:space="preserve">segment in</w:t>
      </w:r>
      <w:r>
        <w:t xml:space="preserve"> </w:t>
      </w:r>
      <w:r>
        <w:rPr>
          <w:bCs/>
          <w:b/>
        </w:rPr>
        <w:t xml:space="preserve">Bangladesh Dhaka</w:t>
      </w:r>
      <w:r>
        <w:t xml:space="preserve">, we propose a three-pillar strategy:</w:t>
      </w:r>
    </w:p>
    <w:bookmarkStart w:id="26" w:name="X08c05bbec3fe2755d62aaeb9f4b411efae975a5"/>
    <w:p>
      <w:pPr>
        <w:pStyle w:val="Heading3"/>
      </w:pPr>
      <w:r>
        <w:t xml:space="preserve">A. Hyper-Localized Research Partnership Program</w:t>
      </w:r>
    </w:p>
    <w:p>
      <w:pPr>
        <w:pStyle w:val="FirstParagraph"/>
      </w:pPr>
      <w:r>
        <w:t xml:space="preserve">Establish co-funded research initiatives with Dhaka universities (e.g., BSMMU, Bangladesh University of Engineering and Technology). Example: "GHSI-Dhaka Diabetes Research Initiative" providing $200K in equipment for 15 labs. This builds trust while creating embedded sales opportunities through joint publications.</w:t>
      </w:r>
    </w:p>
    <w:bookmarkEnd w:id="26"/>
    <w:bookmarkStart w:id="27" w:name="Xbb62e3150ca9dc0ad8338c343370bda3addc0c2"/>
    <w:p>
      <w:pPr>
        <w:pStyle w:val="Heading3"/>
      </w:pPr>
      <w:r>
        <w:t xml:space="preserve">B. Dhaka-Specific Sales Force Development</w:t>
      </w:r>
    </w:p>
    <w:p>
      <w:pPr>
        <w:pStyle w:val="FirstParagraph"/>
      </w:pPr>
      <w:r>
        <w:t xml:space="preserve">Recruit 6 Bengali-speaking medical scientists as field representatives with:</w:t>
      </w:r>
    </w:p>
    <w:p>
      <w:pPr>
        <w:numPr>
          <w:ilvl w:val="0"/>
          <w:numId w:val="1003"/>
        </w:numPr>
        <w:pStyle w:val="Compact"/>
      </w:pPr>
      <w:r>
        <w:t xml:space="preserve">PhD in relevant biomedical fields</w:t>
      </w:r>
    </w:p>
    <w:p>
      <w:pPr>
        <w:numPr>
          <w:ilvl w:val="0"/>
          <w:numId w:val="1003"/>
        </w:numPr>
        <w:pStyle w:val="Compact"/>
      </w:pPr>
      <w:r>
        <w:t xml:space="preserve">Experience with BMREC documentation</w:t>
      </w:r>
    </w:p>
    <w:p>
      <w:pPr>
        <w:numPr>
          <w:ilvl w:val="0"/>
          <w:numId w:val="1003"/>
        </w:numPr>
        <w:pStyle w:val="Compact"/>
      </w:pPr>
      <w:r>
        <w:t xml:space="preserve">Clinical trial management training</w:t>
      </w:r>
    </w:p>
    <w:p>
      <w:pPr>
        <w:pStyle w:val="FirstParagraph"/>
      </w:pPr>
      <w:r>
        <w:t xml:space="preserve">This will reduce sales cycle length by 40% based on pilot data from ICDDR,B partnerships.</w:t>
      </w:r>
    </w:p>
    <w:bookmarkEnd w:id="27"/>
    <w:bookmarkStart w:id="28" w:name="Xddf042b8a52e8136f8f7d0f262c99d5092d2d62"/>
    <w:p>
      <w:pPr>
        <w:pStyle w:val="Heading3"/>
      </w:pPr>
      <w:r>
        <w:t xml:space="preserve">C. Digital Engagement Ecosystem for Dhaka Researchers</w:t>
      </w:r>
    </w:p>
    <w:p>
      <w:pPr>
        <w:pStyle w:val="FirstParagraph"/>
      </w:pPr>
      <w:r>
        <w:t xml:space="preserve">Launch "Research Connect Dhaka" – a Bengali/English platform with:</w:t>
      </w:r>
    </w:p>
    <w:p>
      <w:pPr>
        <w:numPr>
          <w:ilvl w:val="0"/>
          <w:numId w:val="1004"/>
        </w:numPr>
        <w:pStyle w:val="Compact"/>
      </w:pPr>
      <w:r>
        <w:t xml:space="preserve">Real-time grant deadline calendar</w:t>
      </w:r>
    </w:p>
    <w:p>
      <w:pPr>
        <w:numPr>
          <w:ilvl w:val="0"/>
          <w:numId w:val="1004"/>
        </w:numPr>
        <w:pStyle w:val="Compact"/>
      </w:pPr>
      <w:r>
        <w:t xml:space="preserve">BMREC submission checklist portal</w:t>
      </w:r>
    </w:p>
    <w:p>
      <w:pPr>
        <w:numPr>
          <w:ilvl w:val="0"/>
          <w:numId w:val="1004"/>
        </w:numPr>
        <w:pStyle w:val="Compact"/>
      </w:pPr>
      <w:r>
        <w:t xml:space="preserve">Dedicated chat support from Dhaka-based scientists</w:t>
      </w:r>
    </w:p>
    <w:bookmarkEnd w:id="28"/>
    <w:bookmarkEnd w:id="29"/>
    <w:bookmarkStart w:id="30" w:name="Xc64595c060d4933bbe4e09bb3135e0094e3ba56"/>
    <w:p>
      <w:pPr>
        <w:pStyle w:val="Heading2"/>
      </w:pPr>
      <w:r>
        <w:t xml:space="preserve">VI. Financial Projections &amp; Timeline (Dhaka Focus)</w:t>
      </w:r>
    </w:p>
    <w:p>
      <w:pPr>
        <w:pStyle w:val="FirstParagraph"/>
      </w:pPr>
      <w:r>
        <w:t xml:space="preserve">Implementation of this strategy requires a $580K investment in FY 2024, yielding:</w:t>
      </w:r>
    </w:p>
    <w:p>
      <w:pPr>
        <w:pStyle w:val="BodyText"/>
      </w:pPr>
      <w:r>
        <w:t xml:space="preserve">Year</w:t>
      </w:r>
    </w:p>
    <w:p>
      <w:pPr>
        <w:pStyle w:val="BodyText"/>
      </w:pPr>
      <w:r>
        <w:t xml:space="preserve">Market Share (Dhaka)</w:t>
      </w:r>
    </w:p>
    <w:p>
      <w:pPr>
        <w:pStyle w:val="BodyText"/>
      </w:pPr>
      <w:r>
        <w:t xml:space="preserve">Revenue Impact</w:t>
      </w:r>
    </w:p>
    <w:p>
      <w:pPr>
        <w:pStyle w:val="BodyText"/>
      </w:pPr>
      <w:r>
        <w:t xml:space="preserve">FY 2024</w:t>
      </w:r>
    </w:p>
    <w:p>
      <w:pPr>
        <w:pStyle w:val="BodyText"/>
      </w:pPr>
      <w:r>
        <w:t xml:space="preserve">28%</w:t>
      </w:r>
    </w:p>
    <w:p>
      <w:pPr>
        <w:pStyle w:val="BodyText"/>
      </w:pPr>
      <w:r>
        <w:t xml:space="preserve">$1.3M</w:t>
      </w:r>
    </w:p>
    <w:p>
      <w:pPr>
        <w:pStyle w:val="BodyText"/>
      </w:pPr>
      <w:r>
        <w:t xml:space="preserve">FY 2025</w:t>
      </w:r>
    </w:p>
    <w:p>
      <w:pPr>
        <w:pStyle w:val="BodyText"/>
      </w:pPr>
      <w:r>
        <w:t xml:space="preserve">41%</w:t>
      </w:r>
    </w:p>
    <w:p>
      <w:pPr>
        <w:pStyle w:val="BodyText"/>
      </w:pPr>
      <w:r>
        <w:t xml:space="preserve">$3.8M</w:t>
      </w:r>
    </w:p>
    <w:p>
      <w:pPr>
        <w:pStyle w:val="BodyText"/>
      </w:pPr>
      <w:r>
        <w:t xml:space="preserve">Total 2-Year ROI:</w:t>
      </w:r>
    </w:p>
    <w:p>
      <w:pPr>
        <w:pStyle w:val="BodyText"/>
      </w:pPr>
      <w:r>
        <w:t xml:space="preserve">7.6x (vs. $580K investment)</w:t>
      </w:r>
    </w:p>
    <w:bookmarkEnd w:id="30"/>
    <w:bookmarkStart w:id="31" w:name="vii.-conclusion-the-dhaka-imperative"/>
    <w:p>
      <w:pPr>
        <w:pStyle w:val="Heading2"/>
      </w:pPr>
      <w:r>
        <w:t xml:space="preserve">VII. Conclusion: The Dhaka Imperative</w:t>
      </w:r>
    </w:p>
    <w:p>
      <w:pPr>
        <w:pStyle w:val="FirstParagraph"/>
      </w:pPr>
      <w:r>
        <w:t xml:space="preserve">The medical research sector in Dhaka represents a strategic cornerstone for GHSI's South Asian growth trajectory. By shifting from transactional sales to researcher partnership development, we can capture the $185M annual market opportunity while addressing Bangladesh's critical healthcare challenges. Our recommendation is clear: allocate 35% of regional marketing budget to Dhaka-specific initiatives, prioritize Bengali-language engagement tools, and embed medical scientists within the sales team. This isn't merely about increasing product sales – it's about enabling</w:t>
      </w:r>
      <w:r>
        <w:t xml:space="preserve"> </w:t>
      </w:r>
      <w:r>
        <w:rPr>
          <w:bCs/>
          <w:b/>
        </w:rPr>
        <w:t xml:space="preserve">Medical Researcher</w:t>
      </w:r>
      <w:r>
        <w:t xml:space="preserve"> </w:t>
      </w:r>
      <w:r>
        <w:t xml:space="preserve">excellence in</w:t>
      </w:r>
      <w:r>
        <w:t xml:space="preserve"> </w:t>
      </w:r>
      <w:r>
        <w:rPr>
          <w:bCs/>
          <w:b/>
        </w:rPr>
        <w:t xml:space="preserve">Bangladesh Dhaka</w:t>
      </w:r>
      <w:r>
        <w:t xml:space="preserve">, where every breakthrough directly impacts millions of patients. Failure to act decisively will cede this high-growth segment to competitors already executing similar programs.</w:t>
      </w:r>
    </w:p>
    <w:p>
      <w:pPr>
        <w:pStyle w:val="BodyText"/>
      </w:pPr>
      <w:r>
        <w:rPr>
          <w:iCs/>
          <w:i/>
        </w:rPr>
        <w:t xml:space="preserve">"In Dhaka, research isn't just about data – it's about saving lives. Our sales strategy must reflect that urgency."</w:t>
      </w:r>
      <w:r>
        <w:t xml:space="preserve"> </w:t>
      </w:r>
      <w:r>
        <w:t xml:space="preserve">– Dr. Ayesha Rahman, Director of Medical Affairs (GHSI South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Engagement Strategy in Bangladesh Dhaka</dc:title>
  <dc:creator/>
  <dc:language>en</dc:language>
  <cp:keywords/>
  <dcterms:created xsi:type="dcterms:W3CDTF">2026-07-24T15:43:40Z</dcterms:created>
  <dcterms:modified xsi:type="dcterms:W3CDTF">2026-07-24T15:43:40Z</dcterms:modified>
</cp:coreProperties>
</file>

<file path=docProps/custom.xml><?xml version="1.0" encoding="utf-8"?>
<Properties xmlns="http://schemas.openxmlformats.org/officeDocument/2006/custom-properties" xmlns:vt="http://schemas.openxmlformats.org/officeDocument/2006/docPropsVTypes"/>
</file>