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26" w:name="Xef7157136822d7c6a91487c1fa03d995bc75ee2"/>
    <w:p>
      <w:pPr>
        <w:pStyle w:val="Heading1"/>
      </w:pPr>
      <w:r>
        <w:t xml:space="preserve">Q3 2024 Sales Performance Report: Strategic Recruitment of Medical Researchers in Belgium, Brussels</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Global Talent Acquisition Department</w:t>
      </w:r>
      <w:r>
        <w:br/>
      </w:r>
      <w:r>
        <w:rPr>
          <w:bCs/>
          <w:b/>
        </w:rPr>
        <w:t xml:space="preserve">Region Focus:</w:t>
      </w:r>
      <w:r>
        <w:t xml:space="preserve"> </w:t>
      </w:r>
      <w:r>
        <w:t xml:space="preserve">Belgium (Brussels Metropolitan Area)</w:t>
      </w:r>
    </w:p>
    <w:bookmarkStart w:id="20" w:name="executive-summary"/>
    <w:p>
      <w:pPr>
        <w:pStyle w:val="Heading2"/>
      </w:pPr>
      <w:r>
        <w:t xml:space="preserve">Executive Summary</w:t>
      </w:r>
    </w:p>
    <w:p>
      <w:pPr>
        <w:pStyle w:val="FirstParagraph"/>
      </w:pPr>
      <w:r>
        <w:t xml:space="preserve">This Sales Report details the strategic recruitment performance of Medical Researchers across the Belgium Brussels market during Q3 2024. As a critical hub for European healthcare innovation, Brussels presents unparalleled opportunities for specialized talent acquisition in medical research. Our team achieved a 15% YoY growth in qualified Medical Researcher placements, exceeding regional targets by 18%. This success underscores our deep understanding of the Belgium Brussels ecosystem, where regulatory complexity (e.g., Belgian Health Care Inspectorate/IGZ compliance), linguistic diversity (French/Dutch bilingualism), and EU-funded research networks directly impact sales outcomes. This document positions "Medical Researcher" recruitment not merely as a transactional service but as a strategic sales initiative aligned with Belgium's health innovation priorities.</w:t>
      </w:r>
    </w:p>
    <w:bookmarkEnd w:id="20"/>
    <w:bookmarkStart w:id="21" w:name="X551309e1d058b87b15d33f5c39d47db3e92abf5"/>
    <w:p>
      <w:pPr>
        <w:pStyle w:val="Heading2"/>
      </w:pPr>
      <w:r>
        <w:t xml:space="preserve">Market Analysis: Belgium Brussels – The Epicenter for Medical Research Sales</w:t>
      </w:r>
    </w:p>
    <w:p>
      <w:pPr>
        <w:pStyle w:val="FirstParagraph"/>
      </w:pPr>
      <w:r>
        <w:t xml:space="preserve">Belgium, particularly Brussels, functions as the nerve center for medical research in Europe. With the European Medicines Agency (EMA), European Commission’s Directorate-General for Health and Food Safety (DG SANTE), and over 350 biotech/pharma R&amp;D centers based here, demand for Medical Researchers is surging. Our Sales Report identifies three critical market drivers:</w:t>
      </w:r>
    </w:p>
    <w:p>
      <w:pPr>
        <w:numPr>
          <w:ilvl w:val="0"/>
          <w:numId w:val="1001"/>
        </w:numPr>
        <w:pStyle w:val="Compact"/>
      </w:pPr>
      <w:r>
        <w:rPr>
          <w:bCs/>
          <w:b/>
        </w:rPr>
        <w:t xml:space="preserve">Regulatory Acceleration:</w:t>
      </w:r>
      <w:r>
        <w:t xml:space="preserve"> </w:t>
      </w:r>
      <w:r>
        <w:t xml:space="preserve">Belgium’s 2023 Health Innovation Act streamlined clinical trial approvals by 30%, creating immediate need for researchers experienced in IGZ-compliant protocols.</w:t>
      </w:r>
    </w:p>
    <w:p>
      <w:pPr>
        <w:numPr>
          <w:ilvl w:val="0"/>
          <w:numId w:val="1001"/>
        </w:numPr>
        <w:pStyle w:val="Compact"/>
      </w:pPr>
      <w:r>
        <w:rPr>
          <w:bCs/>
          <w:b/>
        </w:rPr>
        <w:t xml:space="preserve">Bilingual Talent Premium:</w:t>
      </w:r>
      <w:r>
        <w:t xml:space="preserve"> </w:t>
      </w:r>
      <w:r>
        <w:t xml:space="preserve">Medical Researcher roles in Brussels require fluency in both French and Dutch. Candidates with dual-language proficiency commanded 22% higher placement rates, directly boosting our sales value proposition.</w:t>
      </w:r>
    </w:p>
    <w:p>
      <w:pPr>
        <w:numPr>
          <w:ilvl w:val="0"/>
          <w:numId w:val="1001"/>
        </w:numPr>
        <w:pStyle w:val="Compact"/>
      </w:pPr>
      <w:r>
        <w:rPr>
          <w:bCs/>
          <w:b/>
        </w:rPr>
        <w:t xml:space="preserve">EU Funding Leverage:</w:t>
      </w:r>
      <w:r>
        <w:t xml:space="preserve"> </w:t>
      </w:r>
      <w:r>
        <w:t xml:space="preserve">68% of medical research projects in Brussels are EU-funded (e.g., Horizon Europe grants). Our Sales Team successfully positioned Medical Researchers as cost-efficient solutions for grant compliance, driving client retention.</w:t>
      </w:r>
    </w:p>
    <w:p>
      <w:pPr>
        <w:pStyle w:val="FirstParagraph"/>
      </w:pPr>
      <w:r>
        <w:t xml:space="preserve">This market context transforms "Medical Researcher" recruitment into a high-value sales engagement – not just filling roles but enabling clients to access EU funding streams and navigate Belgium’s nuanced healthcare landscape.</w:t>
      </w:r>
    </w:p>
    <w:bookmarkEnd w:id="21"/>
    <w:bookmarkStart w:id="22" w:name="X397115affcf08391593ddd20a99ad4f4f7f3c4f"/>
    <w:p>
      <w:pPr>
        <w:pStyle w:val="Heading2"/>
      </w:pPr>
      <w:r>
        <w:t xml:space="preserve">Recruitment Sales Metrics: Quantifying Medical Researcher Placement Success</w:t>
      </w:r>
    </w:p>
    <w:p>
      <w:pPr>
        <w:pStyle w:val="FirstParagraph"/>
      </w:pPr>
      <w:r>
        <w:t xml:space="preserve">The Q3 2024 Sales Report benchmarks our performance against the Belgium Brussels medical research market. Key metrics include:</w:t>
      </w:r>
    </w:p>
    <w:p>
      <w:pPr>
        <w:pStyle w:val="BodyText"/>
      </w:pPr>
      <w:r>
        <w:t xml:space="preserve">KPI</w:t>
      </w:r>
    </w:p>
    <w:p>
      <w:pPr>
        <w:pStyle w:val="BodyText"/>
      </w:pPr>
      <w:r>
        <w:t xml:space="preserve">Q3 2024</w:t>
      </w:r>
    </w:p>
    <w:p>
      <w:pPr>
        <w:pStyle w:val="BodyText"/>
      </w:pPr>
      <w:r>
        <w:t xml:space="preserve">Target</w:t>
      </w:r>
    </w:p>
    <w:p>
      <w:pPr>
        <w:pStyle w:val="BodyText"/>
      </w:pPr>
      <w:r>
        <w:t xml:space="preserve">Variance</w:t>
      </w:r>
    </w:p>
    <w:p>
      <w:pPr>
        <w:pStyle w:val="BodyText"/>
      </w:pPr>
      <w:r>
        <w:t xml:space="preserve">Medical Researcher Placements (Brussels)</w:t>
      </w:r>
    </w:p>
    <w:p>
      <w:pPr>
        <w:pStyle w:val="BodyText"/>
      </w:pPr>
      <w:r>
        <w:t xml:space="preserve">23</w:t>
      </w:r>
    </w:p>
    <w:p>
      <w:pPr>
        <w:pStyle w:val="BodyText"/>
      </w:pPr>
      <w:r>
        <w:t xml:space="preserve">19.5</w:t>
      </w:r>
    </w:p>
    <w:p>
      <w:pPr>
        <w:pStyle w:val="BodyText"/>
      </w:pPr>
      <w:r>
        <w:t xml:space="preserve">+18%</w:t>
      </w:r>
    </w:p>
    <w:p>
      <w:pPr>
        <w:pStyle w:val="BodyText"/>
      </w:pPr>
      <w:r>
        <w:t xml:space="preserve">Average Time-to-Fill (Days)</w:t>
      </w:r>
    </w:p>
    <w:p>
      <w:pPr>
        <w:pStyle w:val="BodyText"/>
      </w:pPr>
      <w:r>
        <w:t xml:space="preserve">42</w:t>
      </w:r>
    </w:p>
    <w:p>
      <w:pPr>
        <w:pStyle w:val="BodyText"/>
      </w:pPr>
      <w:r>
        <w:t xml:space="preserve">&lt; td&gt;48</w:t>
      </w:r>
    </w:p>
    <w:p>
      <w:pPr>
        <w:pStyle w:val="BodyText"/>
      </w:pPr>
      <w:r>
        <w:t xml:space="preserve">&lt; td&gt;Average Client Satisfaction (NPS)&lt; td &gt; 92 &lt; td &gt; 87 &lt; t d &gt; +5</w:t>
      </w:r>
    </w:p>
    <w:p>
      <w:pPr>
        <w:pStyle w:val="BodyText"/>
      </w:pPr>
      <w:r>
        <w:t xml:space="preserve">Languages Proficient in Candidates</w:t>
      </w:r>
    </w:p>
    <w:p>
      <w:pPr>
        <w:pStyle w:val="BodyText"/>
      </w:pPr>
      <w:r>
        <w:t xml:space="preserve">78% Bilingual (FR/DE)</w:t>
      </w:r>
    </w:p>
    <w:p>
      <w:pPr>
        <w:pStyle w:val="BodyText"/>
      </w:pPr>
      <w:r>
        <w:t xml:space="preserve">65%</w:t>
      </w:r>
    </w:p>
    <w:p>
      <w:pPr>
        <w:pStyle w:val="BodyText"/>
      </w:pPr>
      <w:r>
        <w:t xml:space="preserve">+13%</w:t>
      </w:r>
    </w:p>
    <w:p>
      <w:pPr>
        <w:pStyle w:val="BodyText"/>
      </w:pPr>
      <w:r>
        <w:t xml:space="preserve">The 23 placements represent a 32% increase from Q2, with 91% sourced from Brussels-based universities (ULiège, KU Leuven, VIB). Crucially, all Medical Researchers placed met Belgium’s strict IGZ documentation standards – a non-negotiable for sales closure in this market. Client feedback highlighted: "Your ability to deliver IGZ-compliant researchers reduced our regulatory risk by 40%, directly accelerating our Phase III trials."</w:t>
      </w:r>
    </w:p>
    <w:bookmarkEnd w:id="22"/>
    <w:bookmarkStart w:id="23" w:name="challenges-strategic-sales-adaptations"/>
    <w:p>
      <w:pPr>
        <w:pStyle w:val="Heading2"/>
      </w:pPr>
      <w:r>
        <w:t xml:space="preserve">Challenges &amp; Strategic Sales Adaptations</w:t>
      </w:r>
    </w:p>
    <w:p>
      <w:pPr>
        <w:pStyle w:val="FirstParagraph"/>
      </w:pPr>
      <w:r>
        <w:t xml:space="preserve">The Belgium Brussels market presented unique obstacles requiring tailored sales strategies:</w:t>
      </w:r>
    </w:p>
    <w:p>
      <w:pPr>
        <w:numPr>
          <w:ilvl w:val="0"/>
          <w:numId w:val="1002"/>
        </w:numPr>
        <w:pStyle w:val="Compact"/>
      </w:pPr>
      <w:r>
        <w:rPr>
          <w:bCs/>
          <w:b/>
        </w:rPr>
        <w:t xml:space="preserve">Linguistic Fragmentation:</w:t>
      </w:r>
      <w:r>
        <w:t xml:space="preserve"> </w:t>
      </w:r>
      <w:r>
        <w:t xml:space="preserve">Flanders (Dutch-speaking) vs. Wallonia (French-speaking) required separate candidate pipelines. Our Sales Team developed a multilingual sourcing protocol, increasing qualified candidate pools by 35%.</w:t>
      </w:r>
    </w:p>
    <w:p>
      <w:pPr>
        <w:numPr>
          <w:ilvl w:val="0"/>
          <w:numId w:val="1002"/>
        </w:numPr>
        <w:pStyle w:val="Compact"/>
      </w:pPr>
      <w:r>
        <w:rPr>
          <w:bCs/>
          <w:b/>
        </w:rPr>
        <w:t xml:space="preserve">Regulatory Volatility:</w:t>
      </w:r>
      <w:r>
        <w:t xml:space="preserve"> </w:t>
      </w:r>
      <w:r>
        <w:t xml:space="preserve">Sudden EMA guideline updates in August 2024 necessitated rapid retraining. We converted this challenge into a sales opportunity by offering complimentary regulatory workshops to clients, boosting retention by 19%.</w:t>
      </w:r>
    </w:p>
    <w:p>
      <w:pPr>
        <w:numPr>
          <w:ilvl w:val="0"/>
          <w:numId w:val="1002"/>
        </w:numPr>
        <w:pStyle w:val="Compact"/>
      </w:pPr>
      <w:r>
        <w:rPr>
          <w:bCs/>
          <w:b/>
        </w:rPr>
        <w:t xml:space="preserve">Talent Competition:</w:t>
      </w:r>
      <w:r>
        <w:t xml:space="preserve"> </w:t>
      </w:r>
      <w:r>
        <w:t xml:space="preserve">Major pharmaceutical firms (e.g., Johnson &amp; Johnson, UCB) intensified bidding for Medical Researchers. Our Sales Strategy emphasized long-term career growth pathways – resulting in 73% of placed researchers remaining with clients beyond 18 months.</w:t>
      </w:r>
    </w:p>
    <w:bookmarkEnd w:id="23"/>
    <w:bookmarkStart w:id="24" w:name="X6919e5d880597d9bbaaee777336caaae4f2f2d4"/>
    <w:p>
      <w:pPr>
        <w:pStyle w:val="Heading2"/>
      </w:pPr>
      <w:r>
        <w:t xml:space="preserve">Recommendations: Scaling Medical Researcher Sales in Belgium Brussels</w:t>
      </w:r>
    </w:p>
    <w:p>
      <w:pPr>
        <w:pStyle w:val="FirstParagraph"/>
      </w:pPr>
      <w:r>
        <w:t xml:space="preserve">To capitalize on the Belgium Brussels medical research boom, we recommend three strategic sales initiatives:</w:t>
      </w:r>
    </w:p>
    <w:p>
      <w:pPr>
        <w:numPr>
          <w:ilvl w:val="0"/>
          <w:numId w:val="1003"/>
        </w:numPr>
        <w:pStyle w:val="Compact"/>
      </w:pPr>
      <w:r>
        <w:rPr>
          <w:bCs/>
          <w:b/>
        </w:rPr>
        <w:t xml:space="preserve">Expand EMA Compliance Certification:</w:t>
      </w:r>
      <w:r>
        <w:t xml:space="preserve"> </w:t>
      </w:r>
      <w:r>
        <w:t xml:space="preserve">Develop a formal "Belgian Regulatory Specialist" certification for Medical Researchers. This positions us as a sales differentiator for EU-funded projects.</w:t>
      </w:r>
    </w:p>
    <w:p>
      <w:pPr>
        <w:numPr>
          <w:ilvl w:val="0"/>
          <w:numId w:val="1003"/>
        </w:numPr>
        <w:pStyle w:val="Compact"/>
      </w:pPr>
      <w:r>
        <w:rPr>
          <w:bCs/>
          <w:b/>
        </w:rPr>
        <w:t xml:space="preserve">Targeted University Partnerships:</w:t>
      </w:r>
      <w:r>
        <w:t xml:space="preserve"> </w:t>
      </w:r>
      <w:r>
        <w:t xml:space="preserve">Forge direct alliances with Brussels’ top research institutes (e.g., Sciensano, ULB) to pre-qualify candidates. This cuts time-to-fill by 25% and aligns with our Sales Report goal of reducing client onboarding friction.</w:t>
      </w:r>
    </w:p>
    <w:p>
      <w:pPr>
        <w:numPr>
          <w:ilvl w:val="0"/>
          <w:numId w:val="1003"/>
        </w:numPr>
        <w:pStyle w:val="Compact"/>
      </w:pPr>
      <w:r>
        <w:rPr>
          <w:bCs/>
          <w:b/>
        </w:rPr>
        <w:t xml:space="preserve">Data-Driven Client Retention:</w:t>
      </w:r>
      <w:r>
        <w:t xml:space="preserve"> </w:t>
      </w:r>
      <w:r>
        <w:t xml:space="preserve">Implement a predictive analytics dashboard tracking Medical Researcher performance against Belgian regulatory KPIs. This transforms recruitment into an ongoing sales service, not a one-time transaction.</w:t>
      </w:r>
    </w:p>
    <w:bookmarkEnd w:id="24"/>
    <w:bookmarkStart w:id="25" w:name="X0fb6b8ac0cffd7e027e86c7693c173abec5c3d6"/>
    <w:p>
      <w:pPr>
        <w:pStyle w:val="Heading2"/>
      </w:pPr>
      <w:r>
        <w:t xml:space="preserve">Conclusion: Medical Researchers as Strategic Sales Assets</w:t>
      </w:r>
    </w:p>
    <w:p>
      <w:pPr>
        <w:pStyle w:val="FirstParagraph"/>
      </w:pPr>
      <w:r>
        <w:t xml:space="preserve">This Q3 Sales Report confirms that in Belgium Brussels, Medical Researchers are not merely employees – they are strategic assets driving client success in the European health innovation landscape. Our 18% over-achievement against recruitment targets directly reflects our mastery of Brussels’ unique market dynamics: regulatory precision, linguistic dexterity, and EU policy alignment. As the EMA’s influence grows and Belgium’s biotech sector expands at 12% annually (Eurostat, Q2 2024), demand for Medical Researchers will intensify. Our Sales Team must evolve from recruitment partners to strategic advisors – ensuring every Medical Researcher placement delivers measurable value in the context of Belgium Brussels’ healthcare ecosystem.</w:t>
      </w:r>
    </w:p>
    <w:p>
      <w:pPr>
        <w:pStyle w:val="BodyText"/>
      </w:pPr>
      <w:r>
        <w:t xml:space="preserve">The path forward is clear: deepen our integration with Brussels’ regulatory and academic networks, leverage data to demonstrate ROI beyond placement rates, and position "Medical Researcher" as the cornerstone of our sales narrative for Europe’s health innovation capital. This is not just recruitment; it’s selling the future of medicine in Belgium.</w:t>
      </w:r>
    </w:p>
    <w:p>
      <w:pPr>
        <w:pStyle w:val="BodyText"/>
      </w:pPr>
      <w:r>
        <w:rPr>
          <w:bCs/>
          <w:b/>
        </w:rPr>
        <w:t xml:space="preserve">Prepared By:</w:t>
      </w:r>
      <w:r>
        <w:t xml:space="preserve"> </w:t>
      </w:r>
      <w:r>
        <w:t xml:space="preserve">Global Talent Acquisition Sales Leadership, EMEA Region</w:t>
      </w:r>
      <w:r>
        <w:br/>
      </w:r>
      <w:r>
        <w:rPr>
          <w:bCs/>
          <w:b/>
        </w:rPr>
        <w:t xml:space="preserve">Contact:</w:t>
      </w:r>
      <w:r>
        <w:t xml:space="preserve"> </w:t>
      </w:r>
      <w:r>
        <w:t xml:space="preserve">talent.sales@globalrecruit.eu | +32 2 555 1990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Medical Researcher Recruitment in Belgium, Brussels</dc:title>
  <dc:creator/>
  <dc:language>en</dc:language>
  <cp:keywords/>
  <dcterms:created xsi:type="dcterms:W3CDTF">2026-07-23T23:47:14Z</dcterms:created>
  <dcterms:modified xsi:type="dcterms:W3CDTF">2026-07-23T23:47:14Z</dcterms:modified>
</cp:coreProperties>
</file>

<file path=docProps/custom.xml><?xml version="1.0" encoding="utf-8"?>
<Properties xmlns="http://schemas.openxmlformats.org/officeDocument/2006/custom-properties" xmlns:vt="http://schemas.openxmlformats.org/officeDocument/2006/docPropsVTypes"/>
</file>