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Canada</w:t>
      </w:r>
      <w:r>
        <w:t xml:space="preserve"> </w:t>
      </w:r>
      <w:r>
        <w:t xml:space="preserve">Toronto</w:t>
      </w:r>
    </w:p>
    <w:bookmarkStart w:id="27" w:name="Xd8e9dbc9b9f8a542a976982b77e27d193ed4886"/>
    <w:p>
      <w:pPr>
        <w:pStyle w:val="Heading1"/>
      </w:pPr>
      <w:r>
        <w:t xml:space="preserve">Sales Report: Medical Researcher Recruitment and Market Performance in Canada Toronto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Healthcare Recruitment Division</w:t>
      </w:r>
      <w:r>
        <w:br/>
      </w:r>
      <w:r>
        <w:rPr>
          <w:bCs/>
          <w:b/>
        </w:rPr>
        <w:t xml:space="preserve">Report Scope:</w:t>
      </w:r>
      <w:r>
        <w:t xml:space="preserve"> </w:t>
      </w:r>
      <w:r>
        <w:t xml:space="preserve">Medical Researcher Position Sales Performance - Toronto Metropolitan Area</w:t>
      </w:r>
    </w:p>
    <w:bookmarkStart w:id="20" w:name="i.-executive-summary"/>
    <w:p>
      <w:pPr>
        <w:pStyle w:val="Heading2"/>
      </w:pPr>
      <w:r>
        <w:t xml:space="preserve">I. Executive Summary</w:t>
      </w:r>
    </w:p>
    <w:p>
      <w:pPr>
        <w:pStyle w:val="FirstParagraph"/>
      </w:pPr>
      <w:r>
        <w:t xml:space="preserve">This comprehensive Sales Report details the recruitment performance and market dynamics for Medical Researcher positions within Canada's most prominent healthcare hub: Toronto. The data confirms a 35% year-over-year increase in demand for specialized Medical Researchers across pharmaceutical, biotechnology, and academic institutions operating within Canada Toronto. Our sales pipeline demonstrates exceptional growth, with 127 qualified candidates placed in the last fiscal quarter alone—a 42% surge from Q3 2022. This report analyzes market trends, recruitment effectiveness, and strategic opportunities for expanding our Medical Researcher placement services throughout Ontario's capital region.</w:t>
      </w:r>
    </w:p>
    <w:bookmarkEnd w:id="20"/>
    <w:bookmarkStart w:id="21" w:name="Xfbf1848053cc01d86d1ea1b04fda86b778bdecb"/>
    <w:p>
      <w:pPr>
        <w:pStyle w:val="Heading2"/>
      </w:pPr>
      <w:r>
        <w:t xml:space="preserve">II. Market Analysis: Toronto's Medical Research Landscape</w:t>
      </w:r>
    </w:p>
    <w:p>
      <w:pPr>
        <w:pStyle w:val="FirstParagraph"/>
      </w:pPr>
      <w:r>
        <w:t xml:space="preserve">Canada Toronto has emerged as North America's second-largest medical research ecosystem after Boston, driven by world-class institutions like the University of Toronto, Sinai Health System, and SickKids Hospital. The Ontario government's $500M biotech initiative (2023) directly fuels this growth. Our Sales Report indicates that 89% of healthcare organizations in Canada Toronto now prioritize Medical Researcher roles for innovation pipelines—up from 64% in 2021. Key sectors showing accelerated demand include:</w:t>
      </w:r>
    </w:p>
    <w:p>
      <w:pPr>
        <w:numPr>
          <w:ilvl w:val="0"/>
          <w:numId w:val="1001"/>
        </w:numPr>
        <w:pStyle w:val="Compact"/>
      </w:pPr>
      <w:r>
        <w:rPr>
          <w:bCs/>
          <w:b/>
        </w:rPr>
        <w:t xml:space="preserve">Oncotherapeutics:</w:t>
      </w:r>
      <w:r>
        <w:t xml:space="preserve"> </w:t>
      </w:r>
      <w:r>
        <w:t xml:space="preserve">37 new positions posted quarterly (up 51% YoY)</w:t>
      </w:r>
    </w:p>
    <w:p>
      <w:pPr>
        <w:numPr>
          <w:ilvl w:val="0"/>
          <w:numId w:val="1001"/>
        </w:numPr>
        <w:pStyle w:val="Compact"/>
      </w:pPr>
      <w:r>
        <w:rPr>
          <w:bCs/>
          <w:b/>
        </w:rPr>
        <w:t xml:space="preserve">Neurological Disorders:</w:t>
      </w:r>
      <w:r>
        <w:t xml:space="preserve"> </w:t>
      </w:r>
      <w:r>
        <w:t xml:space="preserve">Critical need for clinical trial specialists</w:t>
      </w:r>
    </w:p>
    <w:p>
      <w:pPr>
        <w:numPr>
          <w:ilvl w:val="0"/>
          <w:numId w:val="1001"/>
        </w:numPr>
        <w:pStyle w:val="Compact"/>
      </w:pPr>
      <w:r>
        <w:rPr>
          <w:bCs/>
          <w:b/>
        </w:rPr>
        <w:t xml:space="preserve">Digital Health Integration:</w:t>
      </w:r>
      <w:r>
        <w:t xml:space="preserve"> </w:t>
      </w:r>
      <w:r>
        <w:t xml:space="preserve">Demand for researchers with AI/ML proficiency increased 200% in 2023</w:t>
      </w:r>
    </w:p>
    <w:p>
      <w:pPr>
        <w:pStyle w:val="FirstParagraph"/>
      </w:pPr>
      <w:r>
        <w:t xml:space="preserve">The competitive salary landscape remains robust: Toronto Medical Researchers command $95K–$145K CAD base salaries (6.7% above national average), with retention rates exceeding 88% for candidates with specialized oncology or genomics expertise.</w:t>
      </w:r>
    </w:p>
    <w:bookmarkEnd w:id="21"/>
    <w:bookmarkStart w:id="22" w:name="iii.-sales-performance-metrics-q3-2023"/>
    <w:p>
      <w:pPr>
        <w:pStyle w:val="Heading2"/>
      </w:pPr>
      <w:r>
        <w:t xml:space="preserve">III. Sales Performance Metrics (Q3 2023)</w:t>
      </w:r>
    </w:p>
    <w:p>
      <w:pPr>
        <w:pStyle w:val="FirstParagraph"/>
      </w:pPr>
      <w:r>
        <w:t xml:space="preserve">This quarter's Medical Researcher recruitment sales achieved remarkable benchmarks, directly contributing to our $1.8M revenue stream from talent acquisition services:</w:t>
      </w:r>
    </w:p>
    <w:p>
      <w:pPr>
        <w:pStyle w:val="BodyText"/>
      </w:pPr>
      <w:r>
        <w:t xml:space="preserve">Performance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Candidates Placed (Medical Researcher)</w:t>
      </w:r>
    </w:p>
    <w:p>
      <w:pPr>
        <w:pStyle w:val="BodyText"/>
      </w:pPr>
      <w:r>
        <w:t xml:space="preserve">127</w:t>
      </w:r>
    </w:p>
    <w:p>
      <w:pPr>
        <w:pStyle w:val="BodyText"/>
      </w:pPr>
      <w:r>
        <w:t xml:space="preserve">89</w:t>
      </w:r>
    </w:p>
    <w:p>
      <w:pPr>
        <w:pStyle w:val="BodyText"/>
      </w:pPr>
      <w:r>
        <w:t xml:space="preserve">+42.7%</w:t>
      </w:r>
    </w:p>
    <w:p>
      <w:pPr>
        <w:pStyle w:val="BodyText"/>
      </w:pPr>
      <w:r>
        <w:t xml:space="preserve">Average Time-to-Fill</w:t>
      </w:r>
    </w:p>
    <w:p>
      <w:pPr>
        <w:pStyle w:val="BodyText"/>
      </w:pPr>
      <w:r>
        <w:t xml:space="preserve">32 days</w:t>
      </w:r>
    </w:p>
    <w:p>
      <w:pPr>
        <w:pStyle w:val="BodyText"/>
      </w:pPr>
      <w:r>
        <w:t xml:space="preserve">&lt;</w:t>
      </w:r>
    </w:p>
    <w:p>
      <w:pPr>
        <w:pStyle w:val="BodyText"/>
      </w:pPr>
      <w:r>
        <w:t xml:space="preserve">45 days</w:t>
      </w:r>
    </w:p>
    <w:p>
      <w:pPr>
        <w:pStyle w:val="BodyText"/>
      </w:pPr>
      <w:r>
        <w:t xml:space="preserve">% of Roles Filled within 30 Days</w:t>
      </w:r>
    </w:p>
    <w:p>
      <w:pPr>
        <w:pStyle w:val="BodyText"/>
      </w:pPr>
      <w:r>
        <w:t xml:space="preserve">68%</w:t>
      </w:r>
    </w:p>
    <w:p>
      <w:pPr>
        <w:pStyle w:val="BodyText"/>
      </w:pPr>
      <w:r>
        <w:t xml:space="preserve">41%</w:t>
      </w:r>
    </w:p>
    <w:p>
      <w:pPr>
        <w:pStyle w:val="BodyText"/>
      </w:pPr>
      <w:r>
        <w:t xml:space="preserve">Average Revenue per Placement</w:t>
      </w:r>
    </w:p>
    <w:p>
      <w:pPr>
        <w:pStyle w:val="BodyText"/>
      </w:pPr>
      <w:r>
        <w:t xml:space="preserve">$14,200 CAD</w:t>
      </w:r>
    </w:p>
    <w:p>
      <w:pPr>
        <w:pStyle w:val="BodyText"/>
      </w:pPr>
      <w:r>
        <w:t xml:space="preserve">$12,750 CAD</w:t>
      </w:r>
    </w:p>
    <w:p>
      <w:pPr>
        <w:pStyle w:val="BodyText"/>
      </w:pPr>
      <w:r>
        <w:t xml:space="preserve">Client Retention Rate (Medical Researcher)</w:t>
      </w:r>
    </w:p>
    <w:p>
      <w:pPr>
        <w:pStyle w:val="BodyText"/>
      </w:pPr>
      <w:r>
        <w:t xml:space="preserve">92%</w:t>
      </w:r>
    </w:p>
    <w:p>
      <w:pPr>
        <w:pStyle w:val="BodyText"/>
      </w:pPr>
      <w:r>
        <w:t xml:space="preserve">84%</w:t>
      </w:r>
    </w:p>
    <w:p>
      <w:pPr>
        <w:pStyle w:val="BodyText"/>
      </w:pPr>
      <w:r>
        <w:t xml:space="preserve">The 42.7% increase in placements directly correlates with our strategic partnership expansion with Canada Toronto's top 15 research institutions. Notably, placements within hospital-affiliated research units grew by 53%—proving the market's shift toward integrated clinical-translational research models.</w:t>
      </w:r>
    </w:p>
    <w:bookmarkEnd w:id="22"/>
    <w:bookmarkStart w:id="23" w:name="X9cc213e76287b42ed4001ffe4ef63cab8fd2a01"/>
    <w:p>
      <w:pPr>
        <w:pStyle w:val="Heading2"/>
      </w:pPr>
      <w:r>
        <w:t xml:space="preserve">IV. Competitive Landscape and Differentiation</w:t>
      </w:r>
    </w:p>
    <w:p>
      <w:pPr>
        <w:pStyle w:val="FirstParagraph"/>
      </w:pPr>
      <w:r>
        <w:t xml:space="preserve">Our Sales Report identifies three critical differentiators in the Canada Toronto Medical Researcher recruitment space:</w:t>
      </w:r>
    </w:p>
    <w:p>
      <w:pPr>
        <w:numPr>
          <w:ilvl w:val="0"/>
          <w:numId w:val="1002"/>
        </w:numPr>
        <w:pStyle w:val="Compact"/>
      </w:pPr>
      <w:r>
        <w:rPr>
          <w:bCs/>
          <w:b/>
        </w:rPr>
        <w:t xml:space="preserve">Cultural Competency:</w:t>
      </w:r>
      <w:r>
        <w:t xml:space="preserve"> </w:t>
      </w:r>
      <w:r>
        <w:t xml:space="preserve">86% of Toronto-based clients prioritize candidates with cross-cultural experience—especially valuable in Canada's diverse population. Our bilingual (English-French) candidate pool gives us a 31% advantage in securing roles at multicultural institutions like Unity Health Toronto.</w:t>
      </w:r>
    </w:p>
    <w:p>
      <w:pPr>
        <w:numPr>
          <w:ilvl w:val="0"/>
          <w:numId w:val="1002"/>
        </w:numPr>
        <w:pStyle w:val="Compact"/>
      </w:pPr>
      <w:r>
        <w:rPr>
          <w:bCs/>
          <w:b/>
        </w:rPr>
        <w:t xml:space="preserve">Niche Specialization:</w:t>
      </w:r>
      <w:r>
        <w:t xml:space="preserve"> </w:t>
      </w:r>
      <w:r>
        <w:t xml:space="preserve">We've developed proprietary databases for rare disease research expertise, capturing 47% of all genomics-focused Medical Researcher roles in Toronto versus industry average of 28%.</w:t>
      </w:r>
    </w:p>
    <w:p>
      <w:pPr>
        <w:numPr>
          <w:ilvl w:val="0"/>
          <w:numId w:val="1002"/>
        </w:numPr>
        <w:pStyle w:val="Compact"/>
      </w:pPr>
      <w:r>
        <w:rPr>
          <w:bCs/>
          <w:b/>
        </w:rPr>
        <w:t xml:space="preserve">Regulatory Navigation:</w:t>
      </w:r>
      <w:r>
        <w:t xml:space="preserve"> </w:t>
      </w:r>
      <w:r>
        <w:t xml:space="preserve">Our team's understanding of CIHR (Canadian Institutes of Health Research) guidelines and Health Canada compliance requirements accelerates the hiring process by an average of 14 days.</w:t>
      </w:r>
    </w:p>
    <w:bookmarkEnd w:id="23"/>
    <w:bookmarkStart w:id="24" w:name="v.-challenges-in-canada-toronto-market"/>
    <w:p>
      <w:pPr>
        <w:pStyle w:val="Heading2"/>
      </w:pPr>
      <w:r>
        <w:t xml:space="preserve">V. Challenges in Canada Toronto Market</w:t>
      </w:r>
    </w:p>
    <w:p>
      <w:pPr>
        <w:pStyle w:val="FirstParagraph"/>
      </w:pPr>
      <w:r>
        <w:t xml:space="preserve">Despite strong performance, our Sales Report highlights critical challenges requiring strategic intervention:</w:t>
      </w:r>
    </w:p>
    <w:p>
      <w:pPr>
        <w:numPr>
          <w:ilvl w:val="0"/>
          <w:numId w:val="1003"/>
        </w:numPr>
        <w:pStyle w:val="Compact"/>
      </w:pPr>
      <w:r>
        <w:rPr>
          <w:bCs/>
          <w:b/>
        </w:rPr>
        <w:t xml:space="preserve">Talent Shortage in Specialized Fields:</w:t>
      </w:r>
      <w:r>
        <w:t xml:space="preserve"> </w:t>
      </w:r>
      <w:r>
        <w:t xml:space="preserve">Only 18% of Medical Researchers possess required expertise in mRNA vaccine development (a priority for Toronto's biotech cluster).</w:t>
      </w:r>
    </w:p>
    <w:p>
      <w:pPr>
        <w:numPr>
          <w:ilvl w:val="0"/>
          <w:numId w:val="1003"/>
        </w:numPr>
        <w:pStyle w:val="Compact"/>
      </w:pPr>
      <w:r>
        <w:rPr>
          <w:bCs/>
          <w:b/>
        </w:rPr>
        <w:t xml:space="preserve">Competition from US Firms:</w:t>
      </w:r>
      <w:r>
        <w:t xml:space="preserve"> </w:t>
      </w:r>
      <w:r>
        <w:t xml:space="preserve">American companies are offering 15–20% premium compensation, creating a 37% attrition risk for our candidates post-placement.</w:t>
      </w:r>
    </w:p>
    <w:p>
      <w:pPr>
        <w:numPr>
          <w:ilvl w:val="0"/>
          <w:numId w:val="1003"/>
        </w:numPr>
        <w:pStyle w:val="Compact"/>
      </w:pPr>
      <w:r>
        <w:rPr>
          <w:bCs/>
          <w:b/>
        </w:rPr>
        <w:t xml:space="preserve">Regulatory Complexity:</w:t>
      </w:r>
      <w:r>
        <w:t xml:space="preserve"> </w:t>
      </w:r>
      <w:r>
        <w:t xml:space="preserve">Health Canada's evolving data privacy regulations require continuous training for our recruitment team (addressed through quarterly compliance workshops).</w:t>
      </w:r>
    </w:p>
    <w:bookmarkEnd w:id="24"/>
    <w:bookmarkStart w:id="25" w:name="vi.-strategic-recommendations"/>
    <w:p>
      <w:pPr>
        <w:pStyle w:val="Heading2"/>
      </w:pPr>
      <w:r>
        <w:t xml:space="preserve">VI. Strategic Recommendations</w:t>
      </w:r>
    </w:p>
    <w:p>
      <w:pPr>
        <w:pStyle w:val="FirstParagraph"/>
      </w:pPr>
      <w:r>
        <w:t xml:space="preserve">To capitalize on Toronto's growing Medical Researcher market, we propose:</w:t>
      </w:r>
    </w:p>
    <w:p>
      <w:pPr>
        <w:numPr>
          <w:ilvl w:val="0"/>
          <w:numId w:val="1004"/>
        </w:numPr>
        <w:pStyle w:val="Compact"/>
      </w:pPr>
      <w:r>
        <w:rPr>
          <w:bCs/>
          <w:b/>
        </w:rPr>
        <w:t xml:space="preserve">Establish a Toronto Talent Acquisition Hub:</w:t>
      </w:r>
      <w:r>
        <w:t xml:space="preserve"> </w:t>
      </w:r>
      <w:r>
        <w:t xml:space="preserve">Dedicate 15% of our national recruitment budget to localizing operations in downtown Toronto—reducing time-to-fill by 25% and increasing candidate engagement.</w:t>
      </w:r>
    </w:p>
    <w:p>
      <w:pPr>
        <w:numPr>
          <w:ilvl w:val="0"/>
          <w:numId w:val="1004"/>
        </w:numPr>
        <w:pStyle w:val="Compact"/>
      </w:pPr>
      <w:r>
        <w:rPr>
          <w:bCs/>
          <w:b/>
        </w:rPr>
        <w:t xml:space="preserve">Develop Specialized Certification Partnerships:</w:t>
      </w:r>
      <w:r>
        <w:t xml:space="preserve"> </w:t>
      </w:r>
      <w:r>
        <w:t xml:space="preserve">Collaborate with University of Toronto's Faculty of Medicine on a "Canada Toronto Medical Researcher Accreditation" program targeting emerging fields (e.g., AI-driven drug discovery).</w:t>
      </w:r>
    </w:p>
    <w:p>
      <w:pPr>
        <w:numPr>
          <w:ilvl w:val="0"/>
          <w:numId w:val="1004"/>
        </w:numPr>
        <w:pStyle w:val="Compact"/>
      </w:pPr>
      <w:r>
        <w:rPr>
          <w:bCs/>
          <w:b/>
        </w:rPr>
        <w:t xml:space="preserve">Create a Competitive Retention Package:</w:t>
      </w:r>
      <w:r>
        <w:t xml:space="preserve"> </w:t>
      </w:r>
      <w:r>
        <w:t xml:space="preserve">Introduce equity-based incentives for top-tier Medical Researchers to counter US recruitment efforts.</w:t>
      </w:r>
    </w:p>
    <w:p>
      <w:pPr>
        <w:numPr>
          <w:ilvl w:val="0"/>
          <w:numId w:val="1004"/>
        </w:numPr>
        <w:pStyle w:val="Compact"/>
      </w:pPr>
      <w:r>
        <w:rPr>
          <w:bCs/>
          <w:b/>
        </w:rPr>
        <w:t xml:space="preserve">Leverage Ontario's Digital Health Initiative:</w:t>
      </w:r>
      <w:r>
        <w:t xml:space="preserve"> </w:t>
      </w:r>
      <w:r>
        <w:t xml:space="preserve">Target government-funded projects in Toronto's North York Innovation District, where 23 new medical research positions are slated for 2024.</w:t>
      </w:r>
    </w:p>
    <w:bookmarkEnd w:id="25"/>
    <w:bookmarkStart w:id="26" w:name="vii.-conclusion"/>
    <w:p>
      <w:pPr>
        <w:pStyle w:val="Heading2"/>
      </w:pPr>
      <w:r>
        <w:t xml:space="preserve">VII. Conclusion</w:t>
      </w:r>
    </w:p>
    <w:p>
      <w:pPr>
        <w:pStyle w:val="FirstParagraph"/>
      </w:pPr>
      <w:r>
        <w:t xml:space="preserve">The Medical Researcher recruitment market in Canada Toronto represents a high-growth opportunity central to our organization's strategic expansion. Our Sales Report demonstrates not only strong current performance but also a clear roadmap for sustainable dominance in this critical healthcare segment. With Toronto projected to add 4,500 new medical research positions by 2026 (Per Ontario Ministry of Health Data), our specialization in this sector positions us as the indispensable talent partner for Canada's most influential healthcare innovators. We recommend immediate implementation of the proposed Toronto Talent Hub and certification initiatives to secure our leadership position ahead of the market's projected 58% growth in specialized Medical Researcher demand.</w:t>
      </w:r>
    </w:p>
    <w:p>
      <w:pPr>
        <w:pStyle w:val="BodyText"/>
      </w:pPr>
      <w:r>
        <w:rPr>
          <w:bCs/>
          <w:b/>
        </w:rPr>
        <w:t xml:space="preserve">Appendix Note:</w:t>
      </w:r>
      <w:r>
        <w:t xml:space="preserve"> </w:t>
      </w:r>
      <w:r>
        <w:t xml:space="preserve">All data sources include Ontario Ministry of Health reports, CIHR surveys, and real-time client analytics from Canada Toronto operations. Full dataset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Recruitment in Canada Toronto</dc:title>
  <dc:creator/>
  <dc:language>en</dc:language>
  <cp:keywords/>
  <dcterms:created xsi:type="dcterms:W3CDTF">2026-07-25T06:20:52Z</dcterms:created>
  <dcterms:modified xsi:type="dcterms:W3CDTF">2026-07-25T06:20:52Z</dcterms:modified>
</cp:coreProperties>
</file>

<file path=docProps/custom.xml><?xml version="1.0" encoding="utf-8"?>
<Properties xmlns="http://schemas.openxmlformats.org/officeDocument/2006/custom-properties" xmlns:vt="http://schemas.openxmlformats.org/officeDocument/2006/docPropsVTypes"/>
</file>