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Talent</w:t>
      </w:r>
      <w:r>
        <w:t xml:space="preserve"> </w:t>
      </w:r>
      <w:r>
        <w:t xml:space="preserve">&amp;</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8" w:name="Xc661f501f6d1b1f88142c27bf94b6f1a76c9d66"/>
    <w:p>
      <w:pPr>
        <w:pStyle w:val="Heading1"/>
      </w:pPr>
      <w:r>
        <w:t xml:space="preserve">Q3 2024 Sales Report: Strategic Growth in Medical Researcher Talent Acquisition and Service Delivery within Canada Vancouver</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Pacific Northwest Region</w:t>
      </w:r>
      <w:r>
        <w:br/>
      </w:r>
      <w:r>
        <w:rPr>
          <w:bCs/>
          <w:b/>
        </w:rPr>
        <w:t xml:space="preserve">Prepared By:</w:t>
      </w:r>
      <w:r>
        <w:t xml:space="preserve"> </w:t>
      </w:r>
      <w:r>
        <w:t xml:space="preserve">Sales &amp; Strategy Division, Vancouver Innovation Hub</w:t>
      </w:r>
    </w:p>
    <w:bookmarkStart w:id="20" w:name="i.-executive-summary"/>
    <w:p>
      <w:pPr>
        <w:pStyle w:val="Heading2"/>
      </w:pPr>
      <w:r>
        <w:t xml:space="preserve">I. Executive Summary</w:t>
      </w:r>
    </w:p>
    <w:p>
      <w:pPr>
        <w:pStyle w:val="FirstParagraph"/>
      </w:pPr>
      <w:r>
        <w:t xml:space="preserve">This quarterly report details the performance of our medical researcher talent acquisition and specialized research services sales within Canada Vancouver. The region demonstrated robust growth, driven by heightened demand for specialized clinical research expertise to address complex health challenges in British Columbia. Our strategic focus on cultivating relationships with leading institutions in Canada Vancouver – including University of British Columbia (UBC), BC Cancer Agency, Providence Health Care, and Genome British Columbia – has yielded a 22% year-over-year increase in qualified medical researcher placements and a 15% surge in service contract value. This growth solidifies our position as the premier sales partner for medical research talent solutions across Canada Vancouver.</w:t>
      </w:r>
    </w:p>
    <w:bookmarkEnd w:id="20"/>
    <w:bookmarkStart w:id="21" w:name="X60379386dd8d74f0d99b8a0328eabeece627290"/>
    <w:p>
      <w:pPr>
        <w:pStyle w:val="Heading2"/>
      </w:pPr>
      <w:r>
        <w:t xml:space="preserve">II. Market Analysis: Medical Researcher Demand in Canada Vancouver</w:t>
      </w:r>
    </w:p>
    <w:p>
      <w:pPr>
        <w:pStyle w:val="FirstParagraph"/>
      </w:pPr>
      <w:r>
        <w:t xml:space="preserve">Canada Vancouver has emerged as a pivotal hub for life sciences innovation within North America. Recent federal and provincial investments, including the $500M BC Health Innovation Fund and UBC's $1B strategic research initiative, have significantly amplified demand for highly skilled Medical Researchers. Key drivers include:</w:t>
      </w:r>
    </w:p>
    <w:p>
      <w:pPr>
        <w:numPr>
          <w:ilvl w:val="0"/>
          <w:numId w:val="1001"/>
        </w:numPr>
        <w:pStyle w:val="Compact"/>
      </w:pPr>
      <w:r>
        <w:rPr>
          <w:bCs/>
          <w:b/>
        </w:rPr>
        <w:t xml:space="preserve">Accelerated Clinical Trials:</w:t>
      </w:r>
      <w:r>
        <w:t xml:space="preserve"> </w:t>
      </w:r>
      <w:r>
        <w:t xml:space="preserve">Vancouver-based biotech firms (e.g., BioVex, Navigen) require Medical Researchers to manage complex oncology and neurodegenerative disease trials.</w:t>
      </w:r>
    </w:p>
    <w:p>
      <w:pPr>
        <w:numPr>
          <w:ilvl w:val="0"/>
          <w:numId w:val="1001"/>
        </w:numPr>
        <w:pStyle w:val="Compact"/>
      </w:pPr>
      <w:r>
        <w:rPr>
          <w:bCs/>
          <w:b/>
        </w:rPr>
        <w:t xml:space="preserve">Public Health Imperatives:</w:t>
      </w:r>
      <w:r>
        <w:t xml:space="preserve"> </w:t>
      </w:r>
      <w:r>
        <w:t xml:space="preserve">Post-pandemic healthcare resilience initiatives necessitate researchers focused on infectious disease surveillance and population health analytics, particularly in Canada Vancouver's diverse urban-rural landscape.</w:t>
      </w:r>
    </w:p>
    <w:p>
      <w:pPr>
        <w:numPr>
          <w:ilvl w:val="0"/>
          <w:numId w:val="1001"/>
        </w:numPr>
        <w:pStyle w:val="Compact"/>
      </w:pPr>
      <w:r>
        <w:rPr>
          <w:bCs/>
          <w:b/>
        </w:rPr>
        <w:t xml:space="preserve">Talent Shortage:</w:t>
      </w:r>
      <w:r>
        <w:t xml:space="preserve"> </w:t>
      </w:r>
      <w:r>
        <w:t xml:space="preserve">A 35% vacancy rate for senior Medical Researchers at major Vancouver institutions (per BC Ministry of Health 2024 report) creates a critical market opportunity.</w:t>
      </w:r>
    </w:p>
    <w:bookmarkEnd w:id="21"/>
    <w:bookmarkStart w:id="24" w:name="X89be4954063356154cc552ce29cc89f927ce601"/>
    <w:p>
      <w:pPr>
        <w:pStyle w:val="Heading2"/>
      </w:pPr>
      <w:r>
        <w:t xml:space="preserve">III. Sales Performance: Medical Researcher Talent &amp; Service Delivery</w:t>
      </w:r>
    </w:p>
    <w:p>
      <w:pPr>
        <w:pStyle w:val="FirstParagraph"/>
      </w:pPr>
      <w:r>
        <w:t xml:space="preserve">Our Q3 sales strategy centered on tailored solutions for Canada Vancouver's unique ecosystem:</w:t>
      </w:r>
    </w:p>
    <w:bookmarkStart w:id="22" w:name="X009c4865c0ec9971c200fafbb17231b777cc86d"/>
    <w:p>
      <w:pPr>
        <w:pStyle w:val="Heading3"/>
      </w:pPr>
      <w:r>
        <w:t xml:space="preserve">A. Talent Acquisition Results (Medical Researcher Placements)</w:t>
      </w:r>
    </w:p>
    <w:p>
      <w:pPr>
        <w:pStyle w:val="FirstParagraph"/>
      </w:pPr>
      <w:r>
        <w:t xml:space="preserve">Segment</w:t>
      </w:r>
    </w:p>
    <w:p>
      <w:pPr>
        <w:pStyle w:val="BodyText"/>
      </w:pPr>
      <w:r>
        <w:t xml:space="preserve">Q2 2024</w:t>
      </w:r>
    </w:p>
    <w:p>
      <w:pPr>
        <w:pStyle w:val="BodyText"/>
      </w:pPr>
      <w:r>
        <w:t xml:space="preserve">Q3 2024</w:t>
      </w:r>
    </w:p>
    <w:p>
      <w:pPr>
        <w:pStyle w:val="BodyText"/>
      </w:pPr>
      <w:r>
        <w:t xml:space="preserve">% Change</w:t>
      </w:r>
    </w:p>
    <w:p>
      <w:pPr>
        <w:pStyle w:val="BodyText"/>
      </w:pPr>
      <w:r>
        <w:t xml:space="preserve">Senior Medical Researcher Placements (PhD+)</w:t>
      </w:r>
    </w:p>
    <w:p>
      <w:pPr>
        <w:pStyle w:val="BodyText"/>
      </w:pPr>
      <w:r>
        <w:t xml:space="preserve">18</w:t>
      </w:r>
    </w:p>
    <w:p>
      <w:pPr>
        <w:pStyle w:val="BodyText"/>
      </w:pPr>
      <w:r>
        <w:t xml:space="preserve">28</w:t>
      </w:r>
    </w:p>
    <w:p>
      <w:pPr>
        <w:pStyle w:val="BodyText"/>
      </w:pPr>
      <w:r>
        <w:t xml:space="preserve">+55.6%</w:t>
      </w:r>
    </w:p>
    <w:p>
      <w:pPr>
        <w:pStyle w:val="BodyText"/>
      </w:pPr>
      <w:r>
        <w:t xml:space="preserve">Clinical Research Associate Contracts</w:t>
      </w:r>
    </w:p>
    <w:p>
      <w:pPr>
        <w:pStyle w:val="BodyText"/>
      </w:pPr>
      <w:r>
        <w:t xml:space="preserve">42</w:t>
      </w:r>
    </w:p>
    <w:p>
      <w:pPr>
        <w:pStyle w:val="BodyText"/>
      </w:pPr>
      <w:r>
        <w:t xml:space="preserve">67</w:t>
      </w:r>
    </w:p>
    <w:p>
      <w:pPr>
        <w:pStyle w:val="BodyText"/>
      </w:pPr>
      <w:r>
        <w:t xml:space="preserve">Total Medical Researcher Engagements</w:t>
      </w:r>
    </w:p>
    <w:p>
      <w:pPr>
        <w:pStyle w:val="BodyText"/>
      </w:pPr>
      <w:r>
        <w:t xml:space="preserve">60</w:t>
      </w:r>
    </w:p>
    <w:p>
      <w:pPr>
        <w:pStyle w:val="BodyText"/>
      </w:pPr>
      <w:r>
        <w:t xml:space="preserve">95</w:t>
      </w:r>
    </w:p>
    <w:p>
      <w:pPr>
        <w:pStyle w:val="BodyText"/>
      </w:pPr>
      <w:r>
        <w:t xml:space="preserve">+58.3%</w:t>
      </w:r>
    </w:p>
    <w:p>
      <w:pPr>
        <w:pStyle w:val="BodyText"/>
      </w:pPr>
      <w:r>
        <w:t xml:space="preserve">Key wins include securing 12 new Senior Medical Researcher contracts for BC Cancer's Precision Oncology Program and a $1.2M service agreement with Providence Health Care to deploy specialized researchers for the Pacific Northwest Heart Health Initiative – all within Canada Vancouver.</w:t>
      </w:r>
    </w:p>
    <w:bookmarkEnd w:id="22"/>
    <w:bookmarkStart w:id="23" w:name="X5461022c0bd66b2c7ac7c6af9832bcf06fad193"/>
    <w:p>
      <w:pPr>
        <w:pStyle w:val="Heading3"/>
      </w:pPr>
      <w:r>
        <w:t xml:space="preserve">B. Service Contract Growth (Research Support Services)</w:t>
      </w:r>
    </w:p>
    <w:p>
      <w:pPr>
        <w:pStyle w:val="FirstParagraph"/>
      </w:pPr>
      <w:r>
        <w:t xml:space="preserve">Beyond talent placement, our sales of integrated research services (statistical analysis, regulatory compliance, data management) grew by 18% in Q3. Major contracts include:</w:t>
      </w:r>
    </w:p>
    <w:p>
      <w:pPr>
        <w:numPr>
          <w:ilvl w:val="0"/>
          <w:numId w:val="1002"/>
        </w:numPr>
        <w:pStyle w:val="Compact"/>
      </w:pPr>
      <w:r>
        <w:t xml:space="preserve">A $950K contract with UBC's Centre for Health Services and Policy Research for real-world evidence generation on Indigenous health access.</w:t>
      </w:r>
    </w:p>
    <w:p>
      <w:pPr>
        <w:numPr>
          <w:ilvl w:val="0"/>
          <w:numId w:val="1002"/>
        </w:numPr>
        <w:pStyle w:val="Compact"/>
      </w:pPr>
      <w:r>
        <w:t xml:space="preserve">Expanded services for Genome BC’s Population Genomics Project, adding 5 new Medical Researchers to the team.</w:t>
      </w:r>
    </w:p>
    <w:bookmarkEnd w:id="23"/>
    <w:bookmarkEnd w:id="24"/>
    <w:bookmarkStart w:id="25" w:name="X99c921eca5567343068b5295d9eec3f13eed263"/>
    <w:p>
      <w:pPr>
        <w:pStyle w:val="Heading2"/>
      </w:pPr>
      <w:r>
        <w:t xml:space="preserve">IV. Regional Insights: Why Canada Vancouver is Critical</w:t>
      </w:r>
    </w:p>
    <w:p>
      <w:pPr>
        <w:pStyle w:val="FirstParagraph"/>
      </w:pPr>
      <w:r>
        <w:t xml:space="preserve">Canada Vancouver's strategic advantages directly fuel our sales success:</w:t>
      </w:r>
    </w:p>
    <w:p>
      <w:pPr>
        <w:numPr>
          <w:ilvl w:val="0"/>
          <w:numId w:val="1003"/>
        </w:numPr>
        <w:pStyle w:val="Compact"/>
      </w:pPr>
      <w:r>
        <w:rPr>
          <w:bCs/>
          <w:b/>
        </w:rPr>
        <w:t xml:space="preserve">Institutional Density:</w:t>
      </w:r>
      <w:r>
        <w:t xml:space="preserve"> </w:t>
      </w:r>
      <w:r>
        <w:t xml:space="preserve">45+ research-intensive organizations within the Greater Vancouver Area create a concentrated market for Medical Researcher services.</w:t>
      </w:r>
    </w:p>
    <w:p>
      <w:pPr>
        <w:numPr>
          <w:ilvl w:val="0"/>
          <w:numId w:val="1003"/>
        </w:numPr>
        <w:pStyle w:val="Compact"/>
      </w:pPr>
      <w:r>
        <w:rPr>
          <w:bCs/>
          <w:b/>
        </w:rPr>
        <w:t xml:space="preserve">Government Alignment:</w:t>
      </w:r>
      <w:r>
        <w:t xml:space="preserve"> </w:t>
      </w:r>
      <w:r>
        <w:t xml:space="preserve">Provincial health priorities (e.g., "BC Health Plan 2030") explicitly prioritize medical researcher recruitment, enabling targeted sales outreach.</w:t>
      </w:r>
    </w:p>
    <w:p>
      <w:pPr>
        <w:numPr>
          <w:ilvl w:val="0"/>
          <w:numId w:val="1003"/>
        </w:numPr>
        <w:pStyle w:val="Compact"/>
      </w:pPr>
      <w:r>
        <w:rPr>
          <w:bCs/>
          <w:b/>
        </w:rPr>
        <w:t xml:space="preserve">Talent Pipeline:</w:t>
      </w:r>
      <w:r>
        <w:t xml:space="preserve"> </w:t>
      </w:r>
      <w:r>
        <w:t xml:space="preserve">UBC and SFU produce over 250 medical research graduates annually, providing a sustainable talent pool for our placements across Canada Vancouver.</w:t>
      </w:r>
    </w:p>
    <w:p>
      <w:pPr>
        <w:pStyle w:val="FirstParagraph"/>
      </w:pPr>
      <w:r>
        <w:t xml:space="preserve">Competitor analysis shows other firms lack our Vancouver-specific market depth. Our team’s on-the-ground knowledge of local regulatory frameworks (e.g., CIHR guidelines applied in BC) and cultural nuances is a key differentiator, directly supporting sales conversations with medical researchers seeking roles within Canada Vancouver.</w:t>
      </w:r>
    </w:p>
    <w:bookmarkEnd w:id="25"/>
    <w:bookmarkStart w:id="26" w:name="v.-challenges-strategic-recommendations"/>
    <w:p>
      <w:pPr>
        <w:pStyle w:val="Heading2"/>
      </w:pPr>
      <w:r>
        <w:t xml:space="preserve">V. Challenges &amp; Strategic Recommendations</w:t>
      </w:r>
    </w:p>
    <w:p>
      <w:pPr>
        <w:pStyle w:val="FirstParagraph"/>
      </w:pPr>
      <w:r>
        <w:t xml:space="preserve">While growth is strong, two challenges require immediate action:</w:t>
      </w:r>
    </w:p>
    <w:p>
      <w:pPr>
        <w:numPr>
          <w:ilvl w:val="0"/>
          <w:numId w:val="1004"/>
        </w:numPr>
        <w:pStyle w:val="Compact"/>
      </w:pPr>
      <w:r>
        <w:rPr>
          <w:bCs/>
          <w:b/>
        </w:rPr>
        <w:t xml:space="preserve">Talent Retention Pressure:</w:t>
      </w:r>
      <w:r>
        <w:t xml:space="preserve"> </w:t>
      </w:r>
      <w:r>
        <w:t xml:space="preserve">30% of placed Medical Researchers receive relocation offers from U.S. hubs (Seattle, San Francisco). *Recommendation: Develop "Vancouver Advantage" retention packages with housing subsidies and BC-specific research grants.</w:t>
      </w:r>
    </w:p>
    <w:p>
      <w:pPr>
        <w:numPr>
          <w:ilvl w:val="0"/>
          <w:numId w:val="1004"/>
        </w:numPr>
        <w:pStyle w:val="Compact"/>
      </w:pPr>
      <w:r>
        <w:rPr>
          <w:bCs/>
          <w:b/>
        </w:rPr>
        <w:t xml:space="preserve">Specialized Skill Gaps:</w:t>
      </w:r>
      <w:r>
        <w:t xml:space="preserve"> </w:t>
      </w:r>
      <w:r>
        <w:t xml:space="preserve">Demand for AI/ML-qualified Medical Researchers exceeds supply by 40%. *Recommendation: Partner with local tech hubs (e.g., Vancouver Tech Summit) to co-develop upskilling programs.</w:t>
      </w:r>
    </w:p>
    <w:p>
      <w:pPr>
        <w:pStyle w:val="FirstParagraph"/>
      </w:pPr>
      <w:r>
        <w:t xml:space="preserve">For Q4, we propose doubling down on:</w:t>
      </w:r>
    </w:p>
    <w:p>
      <w:pPr>
        <w:numPr>
          <w:ilvl w:val="0"/>
          <w:numId w:val="1005"/>
        </w:numPr>
        <w:pStyle w:val="Compact"/>
      </w:pPr>
      <w:r>
        <w:t xml:space="preserve">Expanding our dedicated Canada Vancouver Medical Researcher Recruitment Unit (new team of 5 specialists).</w:t>
      </w:r>
    </w:p>
    <w:p>
      <w:pPr>
        <w:numPr>
          <w:ilvl w:val="0"/>
          <w:numId w:val="1005"/>
        </w:numPr>
        <w:pStyle w:val="Compact"/>
      </w:pPr>
      <w:r>
        <w:t xml:space="preserve">Launching "Vancouver Health Innovation Day" – a sales event connecting medical researchers with biotech firms across British Columbia.</w:t>
      </w:r>
    </w:p>
    <w:bookmarkEnd w:id="26"/>
    <w:bookmarkStart w:id="27" w:name="vi.-conclusion"/>
    <w:p>
      <w:pPr>
        <w:pStyle w:val="Heading2"/>
      </w:pPr>
      <w:r>
        <w:t xml:space="preserve">VI. Conclusion</w:t>
      </w:r>
    </w:p>
    <w:p>
      <w:pPr>
        <w:pStyle w:val="FirstParagraph"/>
      </w:pPr>
      <w:r>
        <w:t xml:space="preserve">The Q3 results underscore that Medical Researcher talent is the cornerstone of Vancouver's health innovation ecosystem. Our sales success in Canada Vancouver directly reflects our deep understanding of local market dynamics, institutional needs, and the unique value proposition we deliver to both researchers seeking impactful roles and organizations requiring world-class medical research expertise. As Canada continues to invest in health innovation – particularly within the vibrant hub of Vancouver – our strategic focus on Medical Researcher solutions positions us for sustained revenue growth. We project a 25% increase in sales volume for Q4, with Canada Vancouver contributing over 70% of total regional revenue. This report confirms that our sales strategy is perfectly aligned with the future trajectory of medical research in Western Canada.</w:t>
      </w:r>
    </w:p>
    <w:p>
      <w:pPr>
        <w:pStyle w:val="BodyText"/>
      </w:pPr>
      <w:r>
        <w:rPr>
          <w:bCs/>
          <w:b/>
        </w:rPr>
        <w:t xml:space="preserve">Appendix Note:</w:t>
      </w:r>
      <w:r>
        <w:t xml:space="preserve"> </w:t>
      </w:r>
      <w:r>
        <w:t xml:space="preserve">All data reflects metrics specific to operations within Canada Vancouver (Greater Metro Area). Sales pipeline for Q4 includes 32 active Medical Researcher placement opportunities valued at $5.8M, including contracts with major healthcare providers across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Medical Researcher Talent &amp; Services in Canada Vancouver</dc:title>
  <dc:creator/>
  <cp:keywords/>
  <dcterms:created xsi:type="dcterms:W3CDTF">2026-07-23T22:19:16Z</dcterms:created>
  <dcterms:modified xsi:type="dcterms:W3CDTF">2026-07-23T22:19:16Z</dcterms:modified>
</cp:coreProperties>
</file>

<file path=docProps/custom.xml><?xml version="1.0" encoding="utf-8"?>
<Properties xmlns="http://schemas.openxmlformats.org/officeDocument/2006/custom-properties" xmlns:vt="http://schemas.openxmlformats.org/officeDocument/2006/docPropsVTypes"/>
</file>