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7" w:name="Xa692cc6ea6d5e9cdef0a06851118a893c63fba8"/>
    <w:p>
      <w:pPr>
        <w:pStyle w:val="Heading1"/>
      </w:pPr>
      <w:r>
        <w:t xml:space="preserve">Sales Report: Medical Researcher Recruitment and Market Performance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recruitment performance and market dynamics for Medical Researcher positions across China's premier scientific hub—Beijing. As the epicenter of biomedical innovation in Asia, Beijing's medical research sector has demonstrated exceptional growth, driving unprecedented demand for specialized talent. Our agency has achieved a 37% year-over-year increase in Medical Researcher placements within Beijing, securing 217 high-caliber professionals for leading institutions including Peking University Health Science Center, Chinese Academy of Medical Sciences (CAMS), and multinational pharmaceutical R&amp;D hubs. This report analyzes sales performance, market challenges, and strategic opportunities to reinforce our leadership in the China Beijing medical research talent ecosystem.</w:t>
      </w:r>
    </w:p>
    <w:bookmarkEnd w:id="20"/>
    <w:bookmarkStart w:id="21" w:name="X49a4b8dd4bd26b0ece1e59a901ebbe4adb4f65c"/>
    <w:p>
      <w:pPr>
        <w:pStyle w:val="Heading2"/>
      </w:pPr>
      <w:r>
        <w:t xml:space="preserve">Market Context: China Beijing's Medical Research Landscape</w:t>
      </w:r>
    </w:p>
    <w:p>
      <w:pPr>
        <w:pStyle w:val="FirstParagraph"/>
      </w:pPr>
      <w:r>
        <w:t xml:space="preserve">Beijing represents a pivotal frontier in global medical innovation, home to 68% of China's top-tier biomedical research facilities and 43% of national-level clinical trial centers. The Chinese government's "Healthy China 2030" initiative has catalyzed a $19.7 billion annual investment in medical R&amp;D within Beijing alone, creating an urgent talent deficit for specialized Medical Researcher roles. Our Sales Report confirms that demand outpaces supply by 2:1 in critical therapeutic areas (Oncology, Neurology, and Vaccinology), with vacancy rates exceeding 34% in elite research institutions. This scarcity has elevated the value proposition of qualified Medical Researchers, directly impacting our sales metrics for recruitment services.</w:t>
      </w:r>
    </w:p>
    <w:bookmarkEnd w:id="21"/>
    <w:bookmarkStart w:id="22" w:name="quarterly-sales-performance-analysis"/>
    <w:p>
      <w:pPr>
        <w:pStyle w:val="Heading2"/>
      </w:pPr>
      <w:r>
        <w:t xml:space="preserve">Quarterly Sales Performance Analysis</w:t>
      </w:r>
    </w:p>
    <w:p>
      <w:pPr>
        <w:pStyle w:val="FirstParagraph"/>
      </w:pPr>
      <w:r>
        <w:t xml:space="preserve">Our Beijing Medical Researcher placement division recorded exceptional growth across all quarters:</w:t>
      </w:r>
    </w:p>
    <w:p>
      <w:pPr>
        <w:numPr>
          <w:ilvl w:val="0"/>
          <w:numId w:val="1001"/>
        </w:numPr>
        <w:pStyle w:val="Compact"/>
      </w:pPr>
      <w:r>
        <w:rPr>
          <w:bCs/>
          <w:b/>
        </w:rPr>
        <w:t xml:space="preserve">Q1 2023:</w:t>
      </w:r>
      <w:r>
        <w:t xml:space="preserve"> </w:t>
      </w:r>
      <w:r>
        <w:t xml:space="preserve">48 placements (17% YoY growth) at average salary package of $95,000 USD</w:t>
      </w:r>
    </w:p>
    <w:p>
      <w:pPr>
        <w:numPr>
          <w:ilvl w:val="0"/>
          <w:numId w:val="1001"/>
        </w:numPr>
        <w:pStyle w:val="Compact"/>
      </w:pPr>
      <w:r>
        <w:rPr>
          <w:bCs/>
          <w:b/>
        </w:rPr>
        <w:t xml:space="preserve">Q2 2023:</w:t>
      </w:r>
      <w:r>
        <w:t xml:space="preserve"> </w:t>
      </w:r>
      <w:r>
        <w:t xml:space="preserve">63 placements (+31% QoQ) driven by new partnerships with Beijing Ditan Hospital and Tsinghua University</w:t>
      </w:r>
    </w:p>
    <w:p>
      <w:pPr>
        <w:numPr>
          <w:ilvl w:val="0"/>
          <w:numId w:val="1001"/>
        </w:numPr>
        <w:pStyle w:val="Compact"/>
      </w:pPr>
      <w:r>
        <w:rPr>
          <w:bCs/>
          <w:b/>
        </w:rPr>
        <w:t xml:space="preserve">Q3 2023:</w:t>
      </w:r>
      <w:r>
        <w:t xml:space="preserve"> </w:t>
      </w:r>
      <w:r>
        <w:t xml:space="preserve">106 placements (+68% QoQ) fueled by surge in AI-driven drug discovery initiatives</w:t>
      </w:r>
    </w:p>
    <w:p>
      <w:pPr>
        <w:pStyle w:val="FirstParagraph"/>
      </w:pPr>
      <w:r>
        <w:t xml:space="preserve">Notably, our specialized Medical Researcher solutions for biotech startups in Beijing's Zhongguancun Science Park achieved a 42% premium pricing success rate, with clients accepting 15-20% higher service fees due to proven talent acquisition efficiency. The sales team's deep cultural understanding of China Beijing's academic-industry collaboration models (e.g., "University-Industry-Government" tripartite initiatives) directly contributed to a 39% client retention rate—significantly above the industry average of 28%.</w:t>
      </w:r>
    </w:p>
    <w:bookmarkEnd w:id="22"/>
    <w:bookmarkStart w:id="23" w:name="key-market-challenges-in-china-beijing"/>
    <w:p>
      <w:pPr>
        <w:pStyle w:val="Heading2"/>
      </w:pPr>
      <w:r>
        <w:t xml:space="preserve">Key Market Challenges in China Beijing</w:t>
      </w:r>
    </w:p>
    <w:p>
      <w:pPr>
        <w:pStyle w:val="FirstParagraph"/>
      </w:pPr>
      <w:r>
        <w:t xml:space="preserve">Despite robust growth, our Sales Report identifies critical challenges requiring strategic intervention:</w:t>
      </w:r>
    </w:p>
    <w:p>
      <w:pPr>
        <w:numPr>
          <w:ilvl w:val="0"/>
          <w:numId w:val="1002"/>
        </w:numPr>
        <w:pStyle w:val="Compact"/>
      </w:pPr>
      <w:r>
        <w:rPr>
          <w:bCs/>
          <w:b/>
        </w:rPr>
        <w:t xml:space="preserve">Talent Competition:</w:t>
      </w:r>
      <w:r>
        <w:t xml:space="preserve"> </w:t>
      </w:r>
      <w:r>
        <w:t xml:space="preserve">Major pharmaceutical companies (Sinopharm, Fosun Pharma) and state-funded institutes aggressively poaching candidates within 48 hours of interview completion. This necessitates 30% faster sales cycles for our Medical Researcher placements.</w:t>
      </w:r>
    </w:p>
    <w:p>
      <w:pPr>
        <w:numPr>
          <w:ilvl w:val="0"/>
          <w:numId w:val="1002"/>
        </w:numPr>
        <w:pStyle w:val="Compact"/>
      </w:pPr>
      <w:r>
        <w:rPr>
          <w:bCs/>
          <w:b/>
        </w:rPr>
        <w:t xml:space="preserve">Cultural Nuances:</w:t>
      </w:r>
      <w:r>
        <w:t xml:space="preserve"> </w:t>
      </w:r>
      <w:r>
        <w:t xml:space="preserve">Misalignment between Western recruitment practices and Beijing's hierarchical decision-making processes caused 12% of initial client engagements to stall during Q2.</w:t>
      </w:r>
    </w:p>
    <w:p>
      <w:pPr>
        <w:numPr>
          <w:ilvl w:val="0"/>
          <w:numId w:val="1002"/>
        </w:numPr>
        <w:pStyle w:val="Compact"/>
      </w:pPr>
      <w:r>
        <w:rPr>
          <w:bCs/>
          <w:b/>
        </w:rPr>
        <w:t xml:space="preserve">Regulatory Shifts:</w:t>
      </w:r>
      <w:r>
        <w:t xml:space="preserve"> </w:t>
      </w:r>
      <w:r>
        <w:t xml:space="preserve">New China FDA (NMPA) guidelines for clinical data management increased required qualifications for Medical Researchers by 23%, demanding rapid upskilling of our sales team on regulatory compliance.</w:t>
      </w:r>
    </w:p>
    <w:bookmarkEnd w:id="23"/>
    <w:bookmarkStart w:id="24" w:name="Xc711b0e01ff06b90d1ad45f094cee0346344164"/>
    <w:p>
      <w:pPr>
        <w:pStyle w:val="Heading2"/>
      </w:pPr>
      <w:r>
        <w:t xml:space="preserve">Strategic Opportunities in Beijing's Medical Research Ecosystem</w:t>
      </w:r>
    </w:p>
    <w:p>
      <w:pPr>
        <w:pStyle w:val="FirstParagraph"/>
      </w:pPr>
      <w:r>
        <w:t xml:space="preserve">Our analysis reveals three high-potential growth vectors:</w:t>
      </w:r>
    </w:p>
    <w:p>
      <w:pPr>
        <w:numPr>
          <w:ilvl w:val="0"/>
          <w:numId w:val="1003"/>
        </w:numPr>
        <w:pStyle w:val="Compact"/>
      </w:pPr>
      <w:r>
        <w:rPr>
          <w:bCs/>
          <w:b/>
        </w:rPr>
        <w:t xml:space="preserve">AI-Integrated Research Roles:</w:t>
      </w:r>
      <w:r>
        <w:t xml:space="preserve"> </w:t>
      </w:r>
      <w:r>
        <w:t xml:space="preserve">67% of new Medical Researcher vacancies in Beijing now require AI/ML proficiency. We've developed a specialized "Digital Medical Researcher" sales package with 28% higher conversion rates among biotech clients.</w:t>
      </w:r>
    </w:p>
    <w:p>
      <w:pPr>
        <w:numPr>
          <w:ilvl w:val="0"/>
          <w:numId w:val="1003"/>
        </w:numPr>
        <w:pStyle w:val="Compact"/>
      </w:pPr>
      <w:r>
        <w:rPr>
          <w:bCs/>
          <w:b/>
        </w:rPr>
        <w:t xml:space="preserve">Women in STEM Initiatives:</w:t>
      </w:r>
      <w:r>
        <w:t xml:space="preserve"> </w:t>
      </w:r>
      <w:r>
        <w:t xml:space="preserve">Beijing's mandatory gender diversity quotas for research leadership (effective 2024) present a $5.3M annual opportunity. Our targeted outreach to female Medical Researchers increased qualified candidate pools by 31% in Q3.</w:t>
      </w:r>
    </w:p>
    <w:p>
      <w:pPr>
        <w:numPr>
          <w:ilvl w:val="0"/>
          <w:numId w:val="1003"/>
        </w:numPr>
        <w:pStyle w:val="Compact"/>
      </w:pPr>
      <w:r>
        <w:rPr>
          <w:bCs/>
          <w:b/>
        </w:rPr>
        <w:t xml:space="preserve">Post-Pandemic Innovation:</w:t>
      </w:r>
      <w:r>
        <w:t xml:space="preserve"> </w:t>
      </w:r>
      <w:r>
        <w:t xml:space="preserve">The national "Bio-Health Emergency Response System" created 87 new Medical Researcher positions at Beijing's National Center for Infectious Diseases. Our rapid-response sales team secured 92% of these roles through pre-negotiated service agreements.</w:t>
      </w:r>
    </w:p>
    <w:bookmarkEnd w:id="24"/>
    <w:bookmarkStart w:id="25" w:name="X7a08ea3c8c2893370ab94fba0e01db2ca8f9ff8"/>
    <w:p>
      <w:pPr>
        <w:pStyle w:val="Heading2"/>
      </w:pPr>
      <w:r>
        <w:t xml:space="preserve">Recommendations for Enhanced Sales Performance</w:t>
      </w:r>
    </w:p>
    <w:p>
      <w:pPr>
        <w:pStyle w:val="FirstParagraph"/>
      </w:pPr>
      <w:r>
        <w:t xml:space="preserve">To capitalize on China Beijing's market momentum, we propose:</w:t>
      </w:r>
    </w:p>
    <w:p>
      <w:pPr>
        <w:numPr>
          <w:ilvl w:val="0"/>
          <w:numId w:val="1004"/>
        </w:numPr>
        <w:pStyle w:val="Compact"/>
      </w:pPr>
      <w:r>
        <w:rPr>
          <w:bCs/>
          <w:b/>
        </w:rPr>
        <w:t xml:space="preserve">Launch "Beijing Medical Researcher Accelerator" Program:</w:t>
      </w:r>
      <w:r>
        <w:t xml:space="preserve"> </w:t>
      </w:r>
      <w:r>
        <w:t xml:space="preserve">A 3-month cultural and regulatory training module for sales staff to master Beijing-specific research protocols (e.g., CAMS certification standards), projected to reduce onboarding time by 40%.</w:t>
      </w:r>
    </w:p>
    <w:p>
      <w:pPr>
        <w:numPr>
          <w:ilvl w:val="0"/>
          <w:numId w:val="1004"/>
        </w:numPr>
        <w:pStyle w:val="Compact"/>
      </w:pPr>
      <w:r>
        <w:rPr>
          <w:bCs/>
          <w:b/>
        </w:rPr>
        <w:t xml:space="preserve">Develop AI-Powered Matching Platform:</w:t>
      </w:r>
      <w:r>
        <w:t xml:space="preserve"> </w:t>
      </w:r>
      <w:r>
        <w:t xml:space="preserve">Partner with Beijing University of Technology to integrate machine learning into candidate-job matching, targeting 50% faster placements in high-demand therapeutic areas.</w:t>
      </w:r>
    </w:p>
    <w:p>
      <w:pPr>
        <w:numPr>
          <w:ilvl w:val="0"/>
          <w:numId w:val="1004"/>
        </w:numPr>
        <w:pStyle w:val="Compact"/>
      </w:pPr>
      <w:r>
        <w:rPr>
          <w:bCs/>
          <w:b/>
        </w:rPr>
        <w:t xml:space="preserve">Establish Beijing Research Talent Hub:</w:t>
      </w:r>
      <w:r>
        <w:t xml:space="preserve"> </w:t>
      </w:r>
      <w:r>
        <w:t xml:space="preserve">Open a dedicated physical office in Zhongguancun Science Park to host monthly "Medical Researcher Career Forums" with CAMS and Peking University faculty—expected to generate 200+ qualified leads quarterly.</w:t>
      </w:r>
    </w:p>
    <w:bookmarkEnd w:id="25"/>
    <w:bookmarkStart w:id="26" w:name="X78cc92bb0a44206f41503289b3e20f5953fe003"/>
    <w:p>
      <w:pPr>
        <w:pStyle w:val="Heading2"/>
      </w:pPr>
      <w:r>
        <w:t xml:space="preserve">Conclusion: Cementing Leadership in China Beijing's Medical Research Sales</w:t>
      </w:r>
    </w:p>
    <w:p>
      <w:pPr>
        <w:pStyle w:val="FirstParagraph"/>
      </w:pPr>
      <w:r>
        <w:t xml:space="preserve">This Sales Report affirms that our strategic focus on the Beijing medical research market is yielding exceptional results, with the Medical Researcher recruitment division representing 63% of our China regional revenue. The unique convergence of policy support, infrastructure investment, and talent demand in China Beijing creates an unparalleled opportunity to dominate this high-value segment. By implementing these recommendations—particularly our Beijing Talent Hub initiative—we project a 50% increase in Medical Researcher placements by Q1 2024 and expansion into adjacent services (regulatory consulting, clinical trial management). As the most dynamic medical research hub globally, Beijing isn't just a market for us—it's the proving ground where our sales excellence becomes undeniable. The future of medical innovation flows through China Beijing, and our Sales Report confirms we're positioned at its very source.</w:t>
      </w:r>
    </w:p>
    <w:p>
      <w:pPr>
        <w:pStyle w:val="BodyText"/>
      </w:pPr>
      <w:r>
        <w:rPr>
          <w:bCs/>
          <w:b/>
        </w:rPr>
        <w:t xml:space="preserve">Appendix:</w:t>
      </w:r>
      <w:r>
        <w:t xml:space="preserve"> </w:t>
      </w:r>
      <w:r>
        <w:t xml:space="preserve">Full Sales Metrics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China Beijing Market Analysis</dc:title>
  <dc:creator/>
  <dc:language>en</dc:language>
  <cp:keywords/>
  <dcterms:created xsi:type="dcterms:W3CDTF">2026-07-24T14:02:13Z</dcterms:created>
  <dcterms:modified xsi:type="dcterms:W3CDTF">2026-07-24T14:02:13Z</dcterms:modified>
</cp:coreProperties>
</file>

<file path=docProps/custom.xml><?xml version="1.0" encoding="utf-8"?>
<Properties xmlns="http://schemas.openxmlformats.org/officeDocument/2006/custom-properties" xmlns:vt="http://schemas.openxmlformats.org/officeDocument/2006/docPropsVTypes"/>
</file>