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Colombia</w:t>
      </w:r>
      <w:r>
        <w:t xml:space="preserve"> </w:t>
      </w:r>
      <w:r>
        <w:t xml:space="preserve">Bogotá</w:t>
      </w:r>
    </w:p>
    <w:bookmarkStart w:id="31" w:name="X96afd8ce72c7b4a3ba41a2b138e834033b828bb"/>
    <w:p>
      <w:pPr>
        <w:pStyle w:val="Heading1"/>
      </w:pPr>
      <w:r>
        <w:t xml:space="preserve">Comprehensive Sales Report: Medical Researcher Recruitment Market Analysis in Colombia Bogotá</w:t>
      </w:r>
    </w:p>
    <w:bookmarkStart w:id="20" w:name="executive-summary"/>
    <w:p>
      <w:pPr>
        <w:pStyle w:val="Heading2"/>
      </w:pPr>
      <w:r>
        <w:t xml:space="preserve">Executive Summary</w:t>
      </w:r>
    </w:p>
    <w:p>
      <w:pPr>
        <w:pStyle w:val="FirstParagraph"/>
      </w:pPr>
      <w:r>
        <w:t xml:space="preserve">This Sales Report details the recruitment performance and market dynamics for Medical Researcher positions across Colombia Bogotá during Q3 2023. As the largest metropolitan hub for healthcare innovation in Latin America, Bogotá represents a critical market where demand for specialized Medical Researchers has surged by 34% YoY. BioInnovate Colombia, our regional recruitment division, achieved 112% of quarterly sales targets with a record 47 successful placements across pharmaceutical firms, academic institutions, and clinical research organizations. This report analyzes key drivers, challenges, and strategic recommendations for sustaining growth in this high-value segment.</w:t>
      </w:r>
    </w:p>
    <w:bookmarkEnd w:id="20"/>
    <w:bookmarkStart w:id="21" w:name="Xc48cd7318cf743d090e881c8d6e3c1bc6f4e60b"/>
    <w:p>
      <w:pPr>
        <w:pStyle w:val="Heading2"/>
      </w:pPr>
      <w:r>
        <w:t xml:space="preserve">Market Context: Why Colombia Bogotá Dominates Medical Research Recruitment</w:t>
      </w:r>
    </w:p>
    <w:p>
      <w:pPr>
        <w:pStyle w:val="FirstParagraph"/>
      </w:pPr>
      <w:r>
        <w:t xml:space="preserve">Bogotá's unique position as Colombia's scientific capital—housing 68% of the nation's research institutions, including the National Institute of Health (INS) and 12 major universities with medical research programs—creates a concentrated talent pool unmatched elsewhere in South America. The city's strategic advantage includes:</w:t>
      </w:r>
    </w:p>
    <w:p>
      <w:pPr>
        <w:numPr>
          <w:ilvl w:val="0"/>
          <w:numId w:val="1001"/>
        </w:numPr>
        <w:pStyle w:val="Compact"/>
      </w:pPr>
      <w:r>
        <w:rPr>
          <w:bCs/>
          <w:b/>
        </w:rPr>
        <w:t xml:space="preserve">Government Incentives:</w:t>
      </w:r>
      <w:r>
        <w:t xml:space="preserve"> </w:t>
      </w:r>
      <w:r>
        <w:t xml:space="preserve">Tax breaks for R&amp;D under Law 1746 of 2015 and the Colombian Innovation Agency's (Colciencias) $30M annual funding pool for clinical research</w:t>
      </w:r>
    </w:p>
    <w:p>
      <w:pPr>
        <w:numPr>
          <w:ilvl w:val="0"/>
          <w:numId w:val="1001"/>
        </w:numPr>
        <w:pStyle w:val="Compact"/>
      </w:pPr>
      <w:r>
        <w:rPr>
          <w:bCs/>
          <w:b/>
        </w:rPr>
        <w:t xml:space="preserve">Educational Pipeline:</w:t>
      </w:r>
      <w:r>
        <w:t xml:space="preserve"> </w:t>
      </w:r>
      <w:r>
        <w:t xml:space="preserve">Over 2,100 medical researchers graduate annually from Bogotá universities like Universidad Nacional and EAFIT, creating a sustainable talent ecosystem</w:t>
      </w:r>
    </w:p>
    <w:p>
      <w:pPr>
        <w:numPr>
          <w:ilvl w:val="0"/>
          <w:numId w:val="1001"/>
        </w:numPr>
        <w:pStyle w:val="Compact"/>
      </w:pPr>
      <w:r>
        <w:rPr>
          <w:bCs/>
          <w:b/>
        </w:rPr>
        <w:t xml:space="preserve">Industry Concentration:</w:t>
      </w:r>
      <w:r>
        <w:t xml:space="preserve"> </w:t>
      </w:r>
      <w:r>
        <w:t xml:space="preserve">83% of Colombia's top 50 clinical research organizations maintain headquarters in Bogotá, including global players like IQVIA and PAREXEL</w:t>
      </w:r>
    </w:p>
    <w:bookmarkEnd w:id="21"/>
    <w:bookmarkStart w:id="22" w:name="X8ffa0845ef26b4d778a5a617410fa0bd19f83e1"/>
    <w:p>
      <w:pPr>
        <w:pStyle w:val="Heading2"/>
      </w:pPr>
      <w:r>
        <w:t xml:space="preserve">Sales Performance Analysis: Q3 2023 Metrics</w:t>
      </w:r>
    </w:p>
    <w:p>
      <w:pPr>
        <w:pStyle w:val="FirstParagraph"/>
      </w:pPr>
      <w:r>
        <w:t xml:space="preserve">KPI</w:t>
      </w:r>
    </w:p>
    <w:p>
      <w:pPr>
        <w:pStyle w:val="BodyText"/>
      </w:pPr>
      <w:r>
        <w:t xml:space="preserve">Q3 2023 Actual</w:t>
      </w:r>
    </w:p>
    <w:p>
      <w:pPr>
        <w:pStyle w:val="BodyText"/>
      </w:pPr>
      <w:r>
        <w:t xml:space="preserve">Target</w:t>
      </w:r>
    </w:p>
    <w:p>
      <w:pPr>
        <w:pStyle w:val="BodyText"/>
      </w:pPr>
      <w:r>
        <w:t xml:space="preserve">Variance</w:t>
      </w:r>
    </w:p>
    <w:p>
      <w:pPr>
        <w:pStyle w:val="BodyText"/>
      </w:pPr>
      <w:r>
        <w:t xml:space="preserve">Positions Filled (Medical Researcher)</w:t>
      </w:r>
    </w:p>
    <w:p>
      <w:pPr>
        <w:pStyle w:val="BodyText"/>
      </w:pPr>
      <w:r>
        <w:t xml:space="preserve">47</w:t>
      </w:r>
    </w:p>
    <w:p>
      <w:pPr>
        <w:pStyle w:val="BodyText"/>
      </w:pPr>
      <w:r>
        <w:t xml:space="preserve">42</w:t>
      </w:r>
    </w:p>
    <w:p>
      <w:pPr>
        <w:pStyle w:val="BodyText"/>
      </w:pPr>
      <w:r>
        <w:t xml:space="preserve">+12%</w:t>
      </w:r>
    </w:p>
    <w:p>
      <w:pPr>
        <w:pStyle w:val="BodyText"/>
      </w:pPr>
      <w:r>
        <w:t xml:space="preserve">Mid-Level Researchers (3-5 yrs exp): 32 placements (+18% vs target)</w:t>
      </w:r>
    </w:p>
    <w:p>
      <w:pPr>
        <w:pStyle w:val="BodyText"/>
      </w:pPr>
      <w:r>
        <w:t xml:space="preserve">Sr. Clinical Leads: 9 placements (+6%)</w:t>
      </w:r>
    </w:p>
    <w:p>
      <w:pPr>
        <w:pStyle w:val="BodyText"/>
      </w:pPr>
      <w:r>
        <w:t xml:space="preserve">Specialty Focus: Oncology (41%), Neurosciences (28%), Rare Diseases (19%)</w:t>
      </w:r>
    </w:p>
    <w:p>
      <w:pPr>
        <w:pStyle w:val="BodyText"/>
      </w:pPr>
      <w:r>
        <w:t xml:space="preserve">Average Time-to-Fill</w:t>
      </w:r>
    </w:p>
    <w:p>
      <w:pPr>
        <w:pStyle w:val="BodyText"/>
      </w:pPr>
      <w:r>
        <w:t xml:space="preserve">38 days</w:t>
      </w:r>
    </w:p>
    <w:p>
      <w:pPr>
        <w:pStyle w:val="BodyText"/>
      </w:pPr>
      <w:r>
        <w:t xml:space="preserve">45 days</w:t>
      </w:r>
    </w:p>
    <w:p>
      <w:pPr>
        <w:pStyle w:val="BodyText"/>
      </w:pPr>
      <w:r>
        <w:t xml:space="preserve">-16%</w:t>
      </w:r>
    </w:p>
    <w:p>
      <w:pPr>
        <w:pStyle w:val="BodyText"/>
      </w:pPr>
      <w:r>
        <w:t xml:space="preserve">Client Satisfaction Score (CSAT)</w:t>
      </w:r>
    </w:p>
    <w:p>
      <w:pPr>
        <w:pStyle w:val="BodyText"/>
      </w:pPr>
      <w:r>
        <w:t xml:space="preserve">9.2/10</w:t>
      </w:r>
    </w:p>
    <w:p>
      <w:pPr>
        <w:pStyle w:val="BodyText"/>
      </w:pPr>
      <w:r>
        <w:t xml:space="preserve">Total Revenue Generated</w:t>
      </w:r>
    </w:p>
    <w:p>
      <w:pPr>
        <w:pStyle w:val="BodyText"/>
      </w:pPr>
      <w:r>
        <w:t xml:space="preserve">$387,500 USD</w:t>
      </w:r>
    </w:p>
    <w:p>
      <w:pPr>
        <w:pStyle w:val="BodyText"/>
      </w:pPr>
      <w:r>
        <w:t xml:space="preserve">$350,000 USD</w:t>
      </w:r>
    </w:p>
    <w:p>
      <w:pPr>
        <w:pStyle w:val="BodyText"/>
      </w:pPr>
      <w:r>
        <w:t xml:space="preserve">+11%</w:t>
      </w:r>
    </w:p>
    <w:bookmarkEnd w:id="22"/>
    <w:bookmarkStart w:id="26" w:name="key-market-drivers-in-colombia-bogotá"/>
    <w:p>
      <w:pPr>
        <w:pStyle w:val="Heading2"/>
      </w:pPr>
      <w:r>
        <w:t xml:space="preserve">Key Market Drivers in Colombia Bogotá</w:t>
      </w:r>
    </w:p>
    <w:p>
      <w:pPr>
        <w:pStyle w:val="FirstParagraph"/>
      </w:pPr>
      <w:r>
        <w:t xml:space="preserve">Our sales team identified three critical growth catalysts for Medical Researcher recruitment:</w:t>
      </w:r>
    </w:p>
    <w:bookmarkStart w:id="23" w:name="regulatory-acceleration"/>
    <w:p>
      <w:pPr>
        <w:pStyle w:val="Heading3"/>
      </w:pPr>
      <w:r>
        <w:t xml:space="preserve">1. Regulatory Acceleration</w:t>
      </w:r>
    </w:p>
    <w:p>
      <w:pPr>
        <w:pStyle w:val="FirstParagraph"/>
      </w:pPr>
      <w:r>
        <w:t xml:space="preserve">The National Institute of Food and Drug (INVIMA) streamlined clinical trial approvals by 40% in 2023, directly boosting demand. Bogotá-based firms now conduct 76% of Colombia's Phase II/III trials—requiring specialized Medical Researchers with regulatory expertise. This drove a 51% increase in premium roles ($95K-$130K USD salary range) compared to last year.</w:t>
      </w:r>
    </w:p>
    <w:bookmarkEnd w:id="23"/>
    <w:bookmarkStart w:id="24" w:name="university-industry-partnerships"/>
    <w:p>
      <w:pPr>
        <w:pStyle w:val="Heading3"/>
      </w:pPr>
      <w:r>
        <w:t xml:space="preserve">2. University-Industry Partnerships</w:t>
      </w:r>
    </w:p>
    <w:p>
      <w:pPr>
        <w:pStyle w:val="FirstParagraph"/>
      </w:pPr>
      <w:r>
        <w:t xml:space="preserve">Collaborative initiatives like the Universidad de los Andes' "Research Talent Pipeline" program have created a steady feed of qualified candidates. Our recruitment success rates increased by 27% after integrating university referral programs into our sales strategy, particularly for junior Medical Researcher roles.</w:t>
      </w:r>
    </w:p>
    <w:bookmarkEnd w:id="24"/>
    <w:bookmarkStart w:id="25" w:name="global-health-initiatives"/>
    <w:p>
      <w:pPr>
        <w:pStyle w:val="Heading3"/>
      </w:pPr>
      <w:r>
        <w:t xml:space="preserve">3. Global Health Initiatives</w:t>
      </w:r>
    </w:p>
    <w:p>
      <w:pPr>
        <w:pStyle w:val="FirstParagraph"/>
      </w:pPr>
      <w:r>
        <w:t xml:space="preserve">Bogotá's role as host to WHO regional offices and PAHO (Pan American Health Organization) has generated $85M in new research funding. This directly created 14 high-impact Medical Researcher positions at institutions like Fundación Valle del Lili, representing 29% of our Q3 placements.</w:t>
      </w:r>
    </w:p>
    <w:bookmarkEnd w:id="25"/>
    <w:bookmarkEnd w:id="26"/>
    <w:bookmarkStart w:id="27" w:name="challenges-strategic-response"/>
    <w:p>
      <w:pPr>
        <w:pStyle w:val="Heading2"/>
      </w:pPr>
      <w:r>
        <w:t xml:space="preserve">Challenges &amp; Strategic Response</w:t>
      </w:r>
    </w:p>
    <w:p>
      <w:pPr>
        <w:pStyle w:val="FirstParagraph"/>
      </w:pPr>
      <w:r>
        <w:t xml:space="preserve">Despite strong performance, we faced three persistent market challenges:</w:t>
      </w:r>
    </w:p>
    <w:p>
      <w:pPr>
        <w:numPr>
          <w:ilvl w:val="0"/>
          <w:numId w:val="1002"/>
        </w:numPr>
        <w:pStyle w:val="Compact"/>
      </w:pPr>
      <w:r>
        <w:rPr>
          <w:bCs/>
          <w:b/>
        </w:rPr>
        <w:t xml:space="preserve">Talent Retention Gap:</w:t>
      </w:r>
      <w:r>
        <w:t xml:space="preserve"> </w:t>
      </w:r>
      <w:r>
        <w:t xml:space="preserve">63% of firms reported Medical Researchers leaving for overseas opportunities within 18 months. *Our solution:* Implemented "Career Pathing" sales packages including international conference sponsorships and Colombian government-backed mobility grants (e.g., Colciencias' $5K annual professional development funds).</w:t>
      </w:r>
    </w:p>
    <w:p>
      <w:pPr>
        <w:numPr>
          <w:ilvl w:val="0"/>
          <w:numId w:val="1002"/>
        </w:numPr>
        <w:pStyle w:val="Compact"/>
      </w:pPr>
      <w:r>
        <w:rPr>
          <w:bCs/>
          <w:b/>
        </w:rPr>
        <w:t xml:space="preserve">Specialization Mismatch:</w:t>
      </w:r>
      <w:r>
        <w:t xml:space="preserve"> </w:t>
      </w:r>
      <w:r>
        <w:t xml:space="preserve">High demand for oncology researchers outpaced supply by 37%. *Our solution:* Partnered with Bogotá's Oncology Society to develop targeted recruitment webinars, increasing specialized candidate pool by 48%.</w:t>
      </w:r>
    </w:p>
    <w:p>
      <w:pPr>
        <w:numPr>
          <w:ilvl w:val="0"/>
          <w:numId w:val="1002"/>
        </w:numPr>
        <w:pStyle w:val="Compact"/>
      </w:pPr>
      <w:r>
        <w:rPr>
          <w:bCs/>
          <w:b/>
        </w:rPr>
        <w:t xml:space="preserve">Compliance Complexity:</w:t>
      </w:r>
      <w:r>
        <w:t xml:space="preserve"> </w:t>
      </w:r>
      <w:r>
        <w:t xml:space="preserve">INVIMA documentation requirements increased onboarding time. *Our solution:* Created a dedicated Bogotá compliance desk for Medical Researcher candidates, reducing time-to-start by 32%.</w:t>
      </w:r>
    </w:p>
    <w:bookmarkEnd w:id="27"/>
    <w:bookmarkStart w:id="28" w:name="X3d88629f45c52a6477da19fc020d25cc18f109b"/>
    <w:p>
      <w:pPr>
        <w:pStyle w:val="Heading2"/>
      </w:pPr>
      <w:r>
        <w:t xml:space="preserve">Regional Sales Strategy: Bogotá-Specific Insights</w:t>
      </w:r>
    </w:p>
    <w:p>
      <w:pPr>
        <w:pStyle w:val="FirstParagraph"/>
      </w:pPr>
      <w:r>
        <w:t xml:space="preserve">Bogotá's distinct cultural and professional landscape requires nuanced sales approaches. Our field team identified these location-specific patterns:</w:t>
      </w:r>
    </w:p>
    <w:p>
      <w:pPr>
        <w:numPr>
          <w:ilvl w:val="0"/>
          <w:numId w:val="1003"/>
        </w:numPr>
        <w:pStyle w:val="Compact"/>
      </w:pPr>
      <w:r>
        <w:rPr>
          <w:bCs/>
          <w:b/>
        </w:rPr>
        <w:t xml:space="preserve">Communication Style:</w:t>
      </w:r>
      <w:r>
        <w:t xml:space="preserve"> </w:t>
      </w:r>
      <w:r>
        <w:t xml:space="preserve">89% of Medical Researchers in Bogotá prioritize face-to-face interviews over virtual options (vs. 67% nationally), necessitating our sales staff to maintain physical presence at key hubs like the Innovation District and San José Hospital campus.</w:t>
      </w:r>
    </w:p>
    <w:p>
      <w:pPr>
        <w:numPr>
          <w:ilvl w:val="0"/>
          <w:numId w:val="1003"/>
        </w:numPr>
        <w:pStyle w:val="Compact"/>
      </w:pPr>
      <w:r>
        <w:rPr>
          <w:bCs/>
          <w:b/>
        </w:rPr>
        <w:t xml:space="preserve">Territory Mapping:</w:t>
      </w:r>
      <w:r>
        <w:t xml:space="preserve"> </w:t>
      </w:r>
      <w:r>
        <w:t xml:space="preserve">High-demand zones include the Zona Rosa (28% of placements) for pharma firms, La Candelaria (21%) for academic research, and Chapinero (19%) for startups—guiding our sales resource allocation.</w:t>
      </w:r>
    </w:p>
    <w:p>
      <w:pPr>
        <w:numPr>
          <w:ilvl w:val="0"/>
          <w:numId w:val="1003"/>
        </w:numPr>
        <w:pStyle w:val="Compact"/>
      </w:pPr>
      <w:r>
        <w:rPr>
          <w:bCs/>
          <w:b/>
        </w:rPr>
        <w:t xml:space="preserve">Compensation Expectations:</w:t>
      </w:r>
      <w:r>
        <w:t xml:space="preserve"> </w:t>
      </w:r>
      <w:r>
        <w:t xml:space="preserve">Bogotá Medical Researchers now demand 22% higher base salaries than national average due to cost-of-living pressures. Our sales team adjusted pitch strategies to include comprehensive benefit packages (not just salary).</w:t>
      </w:r>
    </w:p>
    <w:bookmarkEnd w:id="28"/>
    <w:bookmarkStart w:id="29" w:name="opportunities-for-q4-2023-beyond"/>
    <w:p>
      <w:pPr>
        <w:pStyle w:val="Heading2"/>
      </w:pPr>
      <w:r>
        <w:t xml:space="preserve">Opportunities for Q4 2023 &amp; Beyond</w:t>
      </w:r>
    </w:p>
    <w:p>
      <w:pPr>
        <w:pStyle w:val="FirstParagraph"/>
      </w:pPr>
      <w:r>
        <w:t xml:space="preserve">Based on market trends, we recommend these priority actions:</w:t>
      </w:r>
    </w:p>
    <w:p>
      <w:pPr>
        <w:numPr>
          <w:ilvl w:val="0"/>
          <w:numId w:val="1004"/>
        </w:numPr>
        <w:pStyle w:val="Compact"/>
      </w:pPr>
      <w:r>
        <w:rPr>
          <w:bCs/>
          <w:b/>
        </w:rPr>
        <w:t xml:space="preserve">Leverage New Tax Incentives:</w:t>
      </w:r>
      <w:r>
        <w:t xml:space="preserve"> </w:t>
      </w:r>
      <w:r>
        <w:t xml:space="preserve">Capitalize on Colombia's 10% R&amp;D tax credit for firms hiring Medical Researchers, which expands our client base by 15-20% annually. Targeted sales outreach to Bogotá-based biotech startups is underway.</w:t>
      </w:r>
    </w:p>
    <w:p>
      <w:pPr>
        <w:numPr>
          <w:ilvl w:val="0"/>
          <w:numId w:val="1004"/>
        </w:numPr>
        <w:pStyle w:val="Compact"/>
      </w:pPr>
      <w:r>
        <w:rPr>
          <w:bCs/>
          <w:b/>
        </w:rPr>
        <w:t xml:space="preserve">Expand University Alliances:</w:t>
      </w:r>
      <w:r>
        <w:t xml:space="preserve"> </w:t>
      </w:r>
      <w:r>
        <w:t xml:space="preserve">Formalize partnerships with Universidad Javeriana and Pontificia Universidad Bolivariana for early talent identification, projecting 35% placement growth in junior roles by Q2 2024.</w:t>
      </w:r>
    </w:p>
    <w:p>
      <w:pPr>
        <w:numPr>
          <w:ilvl w:val="0"/>
          <w:numId w:val="1004"/>
        </w:numPr>
        <w:pStyle w:val="Compact"/>
      </w:pPr>
      <w:r>
        <w:rPr>
          <w:bCs/>
          <w:b/>
        </w:rPr>
        <w:t xml:space="preserve">Develop Bogotá-Specific Tech Tools:</w:t>
      </w:r>
      <w:r>
        <w:t xml:space="preserve"> </w:t>
      </w:r>
      <w:r>
        <w:t xml:space="preserve">Implement a mobile recruitment platform integrated with Bogotá's public transport data to optimize candidate interviews (addressing city's notorious traffic issues).</w:t>
      </w:r>
    </w:p>
    <w:bookmarkEnd w:id="29"/>
    <w:bookmarkStart w:id="30" w:name="Xb9cc4ccb22d859c0cb10edf2ec1cce3a5abf911"/>
    <w:p>
      <w:pPr>
        <w:pStyle w:val="Heading2"/>
      </w:pPr>
      <w:r>
        <w:t xml:space="preserve">Conclusion: The Strategic Imperative of Bogotá for Medical Research Talent</w:t>
      </w:r>
    </w:p>
    <w:p>
      <w:pPr>
        <w:pStyle w:val="FirstParagraph"/>
      </w:pPr>
      <w:r>
        <w:t xml:space="preserve">The Sales Report confirms Colombia Bogotá as the undisputed epicenter for medical research recruitment in Latin America. With its unique convergence of regulatory support, academic excellence, and global health initiatives, Bogotá delivers unmatched value for Medical Researcher placements. Our 112% sales performance demonstrates that hyper-localized strategies—rooted in understanding Colombian professional culture and Bogotá's geographic nuances—are the key to sustainable growth.</w:t>
      </w:r>
    </w:p>
    <w:p>
      <w:pPr>
        <w:pStyle w:val="BodyText"/>
      </w:pPr>
      <w:r>
        <w:t xml:space="preserve">As Colombia emerges as a regional R&amp;D leader, maintaining our market position requires doubling down on Bogotá-specific insights. We project 2024 Medical Researcher recruitment will grow by 28% nationally, with Bogotá capturing 73% of this expansion. BioInnovate Colombia's continued focus on this corridor—through tailored sales approaches for Medical Researcher talent—will secure our leadership in the $185M Colombian medical research recruitment market.</w:t>
      </w:r>
    </w:p>
    <w:p>
      <w:pPr>
        <w:pStyle w:val="BodyText"/>
      </w:pPr>
      <w:r>
        <w:rPr>
          <w:iCs/>
          <w:i/>
        </w:rPr>
        <w:t xml:space="preserve">Prepared by BioInnovate Colombia Sales Intelligence Team | September 15,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Recruitment in Colombia Bogotá</dc:title>
  <dc:creator/>
  <dc:language>en</dc:language>
  <cp:keywords/>
  <dcterms:created xsi:type="dcterms:W3CDTF">2026-07-24T10:00:29Z</dcterms:created>
  <dcterms:modified xsi:type="dcterms:W3CDTF">2026-07-24T10:00:29Z</dcterms:modified>
</cp:coreProperties>
</file>

<file path=docProps/custom.xml><?xml version="1.0" encoding="utf-8"?>
<Properties xmlns="http://schemas.openxmlformats.org/officeDocument/2006/custom-properties" xmlns:vt="http://schemas.openxmlformats.org/officeDocument/2006/docPropsVTypes"/>
</file>