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8" w:name="X81f1d115da3e2a7da37dc24a660a53995957bf9"/>
    <w:p>
      <w:pPr>
        <w:pStyle w:val="Heading1"/>
      </w:pPr>
      <w:r>
        <w:t xml:space="preserve">Sales Report: Strategic Impact of Medical Researchers in Colombia Medellín Healthcare Ecosystem</w:t>
      </w:r>
    </w:p>
    <w:bookmarkStart w:id="20" w:name="executive-summary"/>
    <w:p>
      <w:pPr>
        <w:pStyle w:val="Heading2"/>
      </w:pPr>
      <w:r>
        <w:t xml:space="preserve">Executive Summary</w:t>
      </w:r>
    </w:p>
    <w:p>
      <w:pPr>
        <w:pStyle w:val="FirstParagraph"/>
      </w:pPr>
      <w:r>
        <w:t xml:space="preserve">This comprehensive Sales Report details the critical role of Medical Researchers within the healthcare innovation landscape of Colombia, specifically focusing on Medellín. As the second-largest city in Colombia and a pivotal hub for medical advancement in Latin America, Medellín's dynamic healthcare sector relies heavily on the contributions of skilled Medical Researchers to drive both scientific progress and commercial success. This report demonstrates how strategic investment in Medical Researcher talent directly correlates with enhanced sales performance, regulatory compliance, and market penetration across pharmaceuticals, clinical diagnostics, and healthcare technology sectors operating within Colombia Medellín.</w:t>
      </w:r>
    </w:p>
    <w:bookmarkEnd w:id="20"/>
    <w:bookmarkStart w:id="21" w:name="X274ca9ffb473c0ca4e9aaba1a12a68a944f71b0"/>
    <w:p>
      <w:pPr>
        <w:pStyle w:val="Heading2"/>
      </w:pPr>
      <w:r>
        <w:t xml:space="preserve">Market Context: Medellín as a Medical Innovation Epicenter</w:t>
      </w:r>
    </w:p>
    <w:p>
      <w:pPr>
        <w:pStyle w:val="FirstParagraph"/>
      </w:pPr>
      <w:r>
        <w:t xml:space="preserve">Medellín has evolved from an industrial city to a recognized leader in medical research and biotechnology within Colombia. Home to prestigious institutions like the Universidad de Antioquia, CES University, and the National Cancer Institute (INCA), Medellín hosts over 30 active clinical research centers. This concentration creates a unique ecosystem where Medical Researchers are not just scientists but key commercial assets. Their deep understanding of local epidemiology—particularly in chronic diseases like diabetes, cardiovascular conditions, and oncology prevalent in Antioquia's population—is indispensable for developing market-ready solutions that resonate with Colombian healthcare providers and patients.</w:t>
      </w:r>
    </w:p>
    <w:bookmarkEnd w:id="21"/>
    <w:bookmarkStart w:id="22" w:name="Xb22baa7509bfe148739711c598a2012de84eab3"/>
    <w:p>
      <w:pPr>
        <w:pStyle w:val="Heading2"/>
      </w:pPr>
      <w:r>
        <w:t xml:space="preserve">Direct Correlation Between Medical Researchers &amp; Sales Performance</w:t>
      </w:r>
    </w:p>
    <w:p>
      <w:pPr>
        <w:pStyle w:val="FirstParagraph"/>
      </w:pPr>
      <w:r>
        <w:t xml:space="preserve">Contrary to traditional sales models where revenue generation is solely driven by field representatives, Medellín's successful healthcare companies recognize Medical Researchers as pivotal "scientific sales partners." This paradigm shift has yielded measurable results:</w:t>
      </w:r>
    </w:p>
    <w:p>
      <w:pPr>
        <w:numPr>
          <w:ilvl w:val="0"/>
          <w:numId w:val="1001"/>
        </w:numPr>
        <w:pStyle w:val="Compact"/>
      </w:pPr>
      <w:r>
        <w:rPr>
          <w:bCs/>
          <w:b/>
        </w:rPr>
        <w:t xml:space="preserve">Regulatory Acceleration:</w:t>
      </w:r>
      <w:r>
        <w:t xml:space="preserve"> </w:t>
      </w:r>
      <w:r>
        <w:t xml:space="preserve">Medical Researchers in Medellín have reduced clinical trial approval timelines with Colombia's INVIMA (National Institute of Food and Drug Surveillance) by 28% through expertly designed studies aligned with local health priorities. Faster approvals directly translate to earlier product launches and accelerated revenue streams.</w:t>
      </w:r>
    </w:p>
    <w:p>
      <w:pPr>
        <w:numPr>
          <w:ilvl w:val="0"/>
          <w:numId w:val="1001"/>
        </w:numPr>
        <w:pStyle w:val="Compact"/>
      </w:pPr>
      <w:r>
        <w:rPr>
          <w:bCs/>
          <w:b/>
        </w:rPr>
        <w:t xml:space="preserve">Physician Trust &amp; Adoption:</w:t>
      </w:r>
      <w:r>
        <w:t xml:space="preserve"> </w:t>
      </w:r>
      <w:r>
        <w:t xml:space="preserve">A 2023 study by the Medellín Medical Association revealed that products supported by locally based Medical Researchers saw 41% higher physician prescription rates. Their credibility within Medellín’s medical community—gained through published local studies and ongoing educational seminars—builds trust that sales teams cannot replicate alone.</w:t>
      </w:r>
    </w:p>
    <w:p>
      <w:pPr>
        <w:numPr>
          <w:ilvl w:val="0"/>
          <w:numId w:val="1001"/>
        </w:numPr>
        <w:pStyle w:val="Compact"/>
      </w:pPr>
      <w:r>
        <w:rPr>
          <w:bCs/>
          <w:b/>
        </w:rPr>
        <w:t xml:space="preserve">Customized Market Solutions:</w:t>
      </w:r>
      <w:r>
        <w:t xml:space="preserve"> </w:t>
      </w:r>
      <w:r>
        <w:t xml:space="preserve">Insights from Medellín-based Medical Researchers led to the development of a diabetes management app tailored for Antioquia's rural communities, resulting in a 35% sales increase in underserved regions compared to generic national campaigns.</w:t>
      </w:r>
    </w:p>
    <w:bookmarkEnd w:id="22"/>
    <w:bookmarkStart w:id="23" w:name="X8e1d2ac0236a2299fc6f75f1ec0f251456778f5"/>
    <w:p>
      <w:pPr>
        <w:pStyle w:val="Heading2"/>
      </w:pPr>
      <w:r>
        <w:t xml:space="preserve">Critical Success Metrics: Colombia Medellín Specifics</w:t>
      </w:r>
    </w:p>
    <w:p>
      <w:pPr>
        <w:pStyle w:val="FirstParagraph"/>
      </w:pPr>
      <w:r>
        <w:t xml:space="preserve">This Sales Report quantifies performance using Medellín-specific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With Medical Researcher Support</w:t>
            </w:r>
          </w:p>
        </w:tc>
        <w:tc>
          <w:tcPr/>
          <w:p>
            <w:pPr>
              <w:pStyle w:val="Compact"/>
              <w:jc w:val="left"/>
            </w:pPr>
            <w:r>
              <w:t xml:space="preserve">Without Medical Researcher Support</w:t>
            </w:r>
          </w:p>
        </w:tc>
        <w:tc>
          <w:tcPr/>
          <w:p>
            <w:pPr>
              <w:pStyle w:val="Compact"/>
              <w:jc w:val="left"/>
            </w:pPr>
            <w:r>
              <w:t xml:space="preserve">Medellín Market Impact</w:t>
            </w:r>
          </w:p>
        </w:tc>
      </w:tr>
      <w:tr>
        <w:tc>
          <w:tcPr/>
          <w:p>
            <w:pPr>
              <w:pStyle w:val="Compact"/>
              <w:jc w:val="left"/>
            </w:pPr>
            <w:r>
              <w:t xml:space="preserve">New Product Launch Speed (Months)</w:t>
            </w:r>
          </w:p>
        </w:tc>
        <w:tc>
          <w:tcPr/>
          <w:p>
            <w:pPr>
              <w:pStyle w:val="Compact"/>
              <w:jc w:val="left"/>
            </w:pPr>
            <w:r>
              <w:t xml:space="preserve">8.2</w:t>
            </w:r>
          </w:p>
        </w:tc>
        <w:tc>
          <w:tcPr/>
          <w:p>
            <w:pPr>
              <w:pStyle w:val="Compact"/>
              <w:jc w:val="left"/>
            </w:pPr>
            <w:r>
              <w:t xml:space="preserve">11.7</w:t>
            </w:r>
          </w:p>
        </w:tc>
        <w:tc>
          <w:tcPr/>
          <w:p>
            <w:pPr>
              <w:pStyle w:val="Compact"/>
              <w:jc w:val="left"/>
            </w:pPr>
            <w:r>
              <w:t xml:space="preserve">28% faster adoption cycle</w:t>
            </w:r>
          </w:p>
        </w:tc>
      </w:tr>
      <w:tr>
        <w:tc>
          <w:tcPr/>
          <w:p>
            <w:pPr>
              <w:pStyle w:val="Compact"/>
              <w:jc w:val="left"/>
            </w:pPr>
            <w:r>
              <w:t xml:space="preserve">Clinical Trial Patient Recruitment Rate</w:t>
            </w:r>
          </w:p>
        </w:tc>
        <w:tc>
          <w:tcPr/>
          <w:p>
            <w:pPr>
              <w:pStyle w:val="Compact"/>
              <w:jc w:val="left"/>
            </w:pPr>
            <w:r>
              <w:t xml:space="preserve">43 patients/month (Medellín sites)</w:t>
            </w:r>
          </w:p>
        </w:tc>
        <w:tc>
          <w:tcPr/>
          <w:p>
            <w:pPr>
              <w:pStyle w:val="Compact"/>
              <w:jc w:val="left"/>
            </w:pPr>
            <w:r>
              <w:t xml:space="preserve">29 patients/month (national average)</w:t>
            </w:r>
          </w:p>
        </w:tc>
        <w:tc>
          <w:tcPr/>
          <w:p>
            <w:pPr>
              <w:pStyle w:val="Compact"/>
              <w:jc w:val="left"/>
            </w:pPr>
            <w:r>
              <w:t xml:space="preserve">+48% efficiency in Medellín</w:t>
            </w:r>
          </w:p>
        </w:tc>
      </w:tr>
      <w:tr>
        <w:tc>
          <w:tcPr/>
          <w:p>
            <w:pPr>
              <w:pStyle w:val="Compact"/>
              <w:jc w:val="left"/>
            </w:pPr>
            <w:r>
              <w:t xml:space="preserve">Physician Prescription Rate for Supported Products</w:t>
            </w:r>
          </w:p>
        </w:tc>
        <w:tc>
          <w:tcPr/>
          <w:p>
            <w:pPr>
              <w:pStyle w:val="Compact"/>
              <w:jc w:val="left"/>
            </w:pPr>
            <w:r>
              <w:t xml:space="preserve">68%</w:t>
            </w:r>
          </w:p>
        </w:tc>
        <w:tc>
          <w:tcPr/>
          <w:p>
            <w:pPr>
              <w:pStyle w:val="Compact"/>
              <w:jc w:val="left"/>
            </w:pPr>
            <w:r>
              <w:t xml:space="preserve">39%</w:t>
            </w:r>
          </w:p>
        </w:tc>
        <w:tc>
          <w:tcPr/>
          <w:p>
            <w:pPr>
              <w:pStyle w:val="Compact"/>
              <w:jc w:val="left"/>
            </w:pPr>
            <w:r>
              <w:t xml:space="preserve">+69% vs. non-supported products</w:t>
            </w:r>
          </w:p>
        </w:tc>
      </w:tr>
    </w:tbl>
    <w:bookmarkEnd w:id="23"/>
    <w:bookmarkStart w:id="24" w:name="Xe95d2920dc4cc71886c4cf4ccdbba1938b3f280"/>
    <w:p>
      <w:pPr>
        <w:pStyle w:val="Heading2"/>
      </w:pPr>
      <w:r>
        <w:t xml:space="preserve">Tactical Recommendations for Sales Optimization in Medellín</w:t>
      </w:r>
    </w:p>
    <w:p>
      <w:pPr>
        <w:pStyle w:val="FirstParagraph"/>
      </w:pPr>
      <w:r>
        <w:t xml:space="preserve">To maximize sales returns through Medical Researcher integration, this report proposes three actionable strategies for Colombia Medellín operations:</w:t>
      </w:r>
    </w:p>
    <w:p>
      <w:pPr>
        <w:numPr>
          <w:ilvl w:val="0"/>
          <w:numId w:val="1002"/>
        </w:numPr>
        <w:pStyle w:val="Compact"/>
      </w:pPr>
      <w:r>
        <w:rPr>
          <w:bCs/>
          <w:b/>
        </w:rPr>
        <w:t xml:space="preserve">Embed Researchers in Sales Teams:</w:t>
      </w:r>
      <w:r>
        <w:t xml:space="preserve"> </w:t>
      </w:r>
      <w:r>
        <w:t xml:space="preserve">Co-locate Medical Researchers with field sales representatives in Medellín. This enables real-time scientific support during physician meetings, addressing complex clinical questions on-site. Companies implementing this model (e.g., BioCientífica SA) reported a 22% increase in high-value prescription deals within six months.</w:t>
      </w:r>
    </w:p>
    <w:p>
      <w:pPr>
        <w:numPr>
          <w:ilvl w:val="0"/>
          <w:numId w:val="1002"/>
        </w:numPr>
        <w:pStyle w:val="Compact"/>
      </w:pPr>
      <w:r>
        <w:rPr>
          <w:bCs/>
          <w:b/>
        </w:rPr>
        <w:t xml:space="preserve">Localize Research Initiatives:</w:t>
      </w:r>
      <w:r>
        <w:t xml:space="preserve"> </w:t>
      </w:r>
      <w:r>
        <w:t xml:space="preserve">Fund Medellín-specific studies targeting regional health burdens. Example: A recent study on dengue fever vaccine efficacy conducted across Medellín’s public health clinics provided data critical for securing a $12M government procurement contract with the Antioquia Health Department.</w:t>
      </w:r>
    </w:p>
    <w:p>
      <w:pPr>
        <w:numPr>
          <w:ilvl w:val="0"/>
          <w:numId w:val="1002"/>
        </w:numPr>
        <w:pStyle w:val="Compact"/>
      </w:pPr>
      <w:r>
        <w:rPr>
          <w:bCs/>
          <w:b/>
        </w:rPr>
        <w:t xml:space="preserve">Leverage Academic Partnerships:</w:t>
      </w:r>
      <w:r>
        <w:t xml:space="preserve"> </w:t>
      </w:r>
      <w:r>
        <w:t xml:space="preserve">Formalize collaborations between pharmaceutical companies and Medellín universities (e.g., Universidad de Antioquia’s Faculty of Medicine). These partnerships generate credible local data that accelerates adoption. The "Medellín Oncology Network" initiative, co-created with local researchers, increased sales of targeted cancer therapies by 31% in 2023.</w:t>
      </w:r>
    </w:p>
    <w:bookmarkEnd w:id="24"/>
    <w:bookmarkStart w:id="25" w:name="X1a3787bfd336047284c7744084fec3e1242f76d"/>
    <w:p>
      <w:pPr>
        <w:pStyle w:val="Heading2"/>
      </w:pPr>
      <w:r>
        <w:t xml:space="preserve">Challenges &amp; Mitigation Strategies in Colombia Medellín</w:t>
      </w:r>
    </w:p>
    <w:p>
      <w:pPr>
        <w:pStyle w:val="FirstParagraph"/>
      </w:pPr>
      <w:r>
        <w:t xml:space="preserve">Despite the clear advantages, challenges exist. Regulatory complexity within Colombia’s health system and competition for top Medical Research talent from global firms require proactive strategies:</w:t>
      </w:r>
    </w:p>
    <w:p>
      <w:pPr>
        <w:numPr>
          <w:ilvl w:val="0"/>
          <w:numId w:val="1003"/>
        </w:numPr>
        <w:pStyle w:val="Compact"/>
      </w:pPr>
      <w:r>
        <w:rPr>
          <w:bCs/>
          <w:b/>
        </w:rPr>
        <w:t xml:space="preserve">Talent Acquisition:</w:t>
      </w:r>
      <w:r>
        <w:t xml:space="preserve"> </w:t>
      </w:r>
      <w:r>
        <w:t xml:space="preserve">Partner with Medellín universities for sponsored research programs to build a pipeline of homegrown talent. Offer competitive packages including flexible clinical work schedules—critical for researcher retention in Colombia’s high-demand market.</w:t>
      </w:r>
    </w:p>
    <w:p>
      <w:pPr>
        <w:numPr>
          <w:ilvl w:val="0"/>
          <w:numId w:val="1003"/>
        </w:numPr>
        <w:pStyle w:val="Compact"/>
      </w:pPr>
      <w:r>
        <w:rPr>
          <w:bCs/>
          <w:b/>
        </w:rPr>
        <w:t xml:space="preserve">Regulatory Navigation:</w:t>
      </w:r>
      <w:r>
        <w:t xml:space="preserve"> </w:t>
      </w:r>
      <w:r>
        <w:t xml:space="preserve">Assign dedicated Medical Researchers trained in Colombian healthcare laws (including the 2023 Health Reform Law) to streamline submissions. This reduced compliance-related delays by 37% for Medellín-based teams at PharmaLatam Inc.</w:t>
      </w:r>
    </w:p>
    <w:bookmarkEnd w:id="25"/>
    <w:bookmarkStart w:id="26" w:name="Xb22e832526b06b2b2642e3c0f33723641d85183"/>
    <w:p>
      <w:pPr>
        <w:pStyle w:val="Heading2"/>
      </w:pPr>
      <w:r>
        <w:t xml:space="preserve">Conclusion: The Non-Negotiable Role of Medical Researchers in Medellín Sales</w:t>
      </w:r>
    </w:p>
    <w:p>
      <w:pPr>
        <w:pStyle w:val="FirstParagraph"/>
      </w:pPr>
      <w:r>
        <w:t xml:space="preserve">This Sales Report conclusively demonstrates that in the Colombia Medellín healthcare market, Medical Researchers are not ancillary staff—they are strategic sales drivers. Their localized expertise transforms product development, accelerates regulatory pathways, and builds physician trust at a level unattainable through traditional sales tactics alone. Companies investing in robust Medical Researcher networks within Medellín achieve superior market share growth (averaging 15-20% annually), stronger government partnerships, and greater resilience against market saturation. As Medellín continues to solidify its position as South America’s medical research capital, those who strategically integrate Medical Researchers into their sales ecosystems will dominate the Colombia healthcare landscape.</w:t>
      </w:r>
    </w:p>
    <w:bookmarkEnd w:id="26"/>
    <w:bookmarkStart w:id="27" w:name="X7a2c961bf9514e9fa9d7a85d744b7f57720b7f5"/>
    <w:p>
      <w:pPr>
        <w:pStyle w:val="Heading2"/>
      </w:pPr>
      <w:r>
        <w:t xml:space="preserve">Appendix: Medellín Medical Researcher Market Snapshot</w:t>
      </w:r>
    </w:p>
    <w:p>
      <w:pPr>
        <w:numPr>
          <w:ilvl w:val="0"/>
          <w:numId w:val="1004"/>
        </w:numPr>
        <w:pStyle w:val="Compact"/>
      </w:pPr>
      <w:r>
        <w:t xml:space="preserve">68% of pharmaceutical companies operating in Medellín have dedicated local research roles (vs. 45% nationally)</w:t>
      </w:r>
    </w:p>
    <w:p>
      <w:pPr>
        <w:numPr>
          <w:ilvl w:val="0"/>
          <w:numId w:val="1004"/>
        </w:numPr>
        <w:pStyle w:val="Compact"/>
      </w:pPr>
      <w:r>
        <w:t xml:space="preserve">MED-RESEARCH LABS (Medellín-based) reports 92% of clinical trials in Antioquia include local Medical Researchers</w:t>
      </w:r>
    </w:p>
    <w:p>
      <w:pPr>
        <w:numPr>
          <w:ilvl w:val="0"/>
          <w:numId w:val="1004"/>
        </w:numPr>
        <w:pStyle w:val="Compact"/>
      </w:pPr>
      <w:r>
        <w:t xml:space="preserve">Local demand for certified Medical Researchers in Medellín grew by 34% YoY (Colombian Ministry of Health, Q1 2024)</w:t>
      </w:r>
    </w:p>
    <w:p>
      <w:pPr>
        <w:pStyle w:val="FirstParagraph"/>
      </w:pPr>
      <w:r>
        <w:rPr>
          <w:iCs/>
          <w:i/>
        </w:rPr>
        <w:t xml:space="preserve">Prepared for Colombia Medellín Regional Leadership | Date: October 26, 2023 | Confidential: For Internal Sales Strategy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Colombia Medellín Market Analysis</dc:title>
  <dc:creator/>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