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Health</w:t>
      </w:r>
      <w:r>
        <w:t xml:space="preserve"> </w:t>
      </w:r>
      <w:r>
        <w:t xml:space="preserve">Innovations</w:t>
      </w:r>
      <w:r>
        <w:t xml:space="preserve"> </w:t>
      </w:r>
      <w:r>
        <w:t xml:space="preserve">-</w:t>
      </w:r>
      <w:r>
        <w:t xml:space="preserve"> </w:t>
      </w: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Performance</w:t>
      </w:r>
      <w:r>
        <w:t xml:space="preserve"> </w:t>
      </w:r>
      <w:r>
        <w:t xml:space="preserve">in</w:t>
      </w:r>
      <w:r>
        <w:t xml:space="preserve"> </w:t>
      </w:r>
      <w:r>
        <w:t xml:space="preserve">France</w:t>
      </w:r>
      <w:r>
        <w:t xml:space="preserve"> </w:t>
      </w:r>
      <w:r>
        <w:t xml:space="preserve">Paris</w:t>
      </w:r>
    </w:p>
    <w:bookmarkStart w:id="28" w:name="Xcdc09bb5bbdf154616762869e17a9fc50feb0b6"/>
    <w:p>
      <w:pPr>
        <w:pStyle w:val="Heading1"/>
      </w:pPr>
      <w:r>
        <w:t xml:space="preserve">Sales Report: Strategic Impact of Medical Researcher Initiatives in France Paris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Health Innovations</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strategic performance of our Medical Researcher initiatives within the France Paris market, demonstrating how targeted medical research expertise has directly driven revenue growth and market leadership. In Q3 2023, our Paris-based Medical Researcher team achieved a 34% year-over-year increase in high-value contract acquisitions, significantly outperforming regional benchmarks. This success underscores the critical role of specialized medical research capabilities in penetrating France's competitive healthcare landscape, with Paris serving as the strategic epicenter for European operations.</w:t>
      </w:r>
    </w:p>
    <w:bookmarkEnd w:id="20"/>
    <w:bookmarkStart w:id="21" w:name="Xa5d99e013a89b69b534852352ce362a75c6a113"/>
    <w:p>
      <w:pPr>
        <w:pStyle w:val="Heading2"/>
      </w:pPr>
      <w:r>
        <w:t xml:space="preserve">II. Market Context: France Paris Medical Research Landscape</w:t>
      </w:r>
    </w:p>
    <w:p>
      <w:pPr>
        <w:pStyle w:val="FirstParagraph"/>
      </w:pPr>
      <w:r>
        <w:t xml:space="preserve">France maintains one of Europe's most sophisticated medical research ecosystems, with Paris housing 67% of the nation's top-tier research institutions including Institut Pasteur, Sorbonne University, and AP-HP hospitals. The French National Agency for Medicines (ANSM) enforces stringent clinical trial regulations (Article L5121-1 of French Public Health Code), creating both challenges and opportunities for companies requiring localized research expertise. Our Sales Report identifies that 89% of pharmaceutical clients in France Paris prioritize vendors with on-the-ground medical research capabilities—making the Medical Researcher role not merely supportive, but essential to sales success.</w:t>
      </w:r>
    </w:p>
    <w:bookmarkEnd w:id="21"/>
    <w:bookmarkStart w:id="22" w:name="Xf904eed030c11333d28b7224ae2b64bb7b755ee"/>
    <w:p>
      <w:pPr>
        <w:pStyle w:val="Heading2"/>
      </w:pPr>
      <w:r>
        <w:t xml:space="preserve">III. Key Sales Performance Metrics (France Paris)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Paris Market Avg.</w:t>
      </w:r>
    </w:p>
    <w:p>
      <w:pPr>
        <w:pStyle w:val="BodyText"/>
      </w:pPr>
      <w:r>
        <w:t xml:space="preserve">New Client Acquisition (Pharma/Biotech)</w:t>
      </w:r>
    </w:p>
    <w:p>
      <w:pPr>
        <w:pStyle w:val="BodyText"/>
      </w:pPr>
      <w:r>
        <w:t xml:space="preserve">17</w:t>
      </w:r>
    </w:p>
    <w:p>
      <w:pPr>
        <w:pStyle w:val="BodyText"/>
      </w:pPr>
      <w:r>
        <w:t xml:space="preserve">+34%</w:t>
      </w:r>
    </w:p>
    <w:p>
      <w:pPr>
        <w:pStyle w:val="BodyText"/>
      </w:pPr>
      <w:r>
        <w:t xml:space="preserve">+9%</w:t>
      </w:r>
    </w:p>
    <w:p>
      <w:pPr>
        <w:pStyle w:val="BodyText"/>
      </w:pPr>
      <w:r>
        <w:t xml:space="preserve">Avg. Contract Value</w:t>
      </w:r>
    </w:p>
    <w:p>
      <w:pPr>
        <w:pStyle w:val="BodyText"/>
      </w:pPr>
      <w:r>
        <w:t xml:space="preserve">€2.8M</w:t>
      </w:r>
    </w:p>
    <w:p>
      <w:pPr>
        <w:pStyle w:val="BodyText"/>
      </w:pPr>
      <w:r>
        <w:t xml:space="preserve">+18%</w:t>
      </w:r>
    </w:p>
    <w:p>
      <w:pPr>
        <w:pStyle w:val="BodyText"/>
      </w:pPr>
      <w:r>
        <w:br/>
      </w:r>
    </w:p>
    <w:p>
      <w:pPr>
        <w:pStyle w:val="BodyText"/>
      </w:pPr>
      <w:r>
        <w:t xml:space="preserve">Medical Research-Driven Pipeline Growth</w:t>
      </w:r>
    </w:p>
    <w:p>
      <w:pPr>
        <w:pStyle w:val="BodyText"/>
      </w:pPr>
      <w:r>
        <w:t xml:space="preserve">€14.3M</w:t>
      </w:r>
    </w:p>
    <w:p>
      <w:pPr>
        <w:pStyle w:val="BodyText"/>
      </w:pPr>
      <w:r>
        <w:t xml:space="preserve">+52%</w:t>
      </w:r>
    </w:p>
    <w:p>
      <w:pPr>
        <w:pStyle w:val="BodyText"/>
      </w:pPr>
      <w:r>
        <w:t xml:space="preserve">+21%</w:t>
      </w:r>
    </w:p>
    <w:p>
      <w:pPr>
        <w:pStyle w:val="BodyText"/>
      </w:pPr>
      <w:r>
        <w:t xml:space="preserve">The Paris medical research market demonstrated exceptional traction, with our Medical Researcher team securing three landmark contracts exceeding €5M each—significantly above the regional average of €1.4M for similar engagements. These include a Phase III oncology trial partnership with a leading French biotech firm (Lilly France) and an AI-driven drug discovery collaboration with Paris-Saclay University.</w:t>
      </w:r>
    </w:p>
    <w:bookmarkEnd w:id="22"/>
    <w:bookmarkStart w:id="23" w:name="X1ab12dc8710680b529d177d04d9c4e3bdd34ee1"/>
    <w:p>
      <w:pPr>
        <w:pStyle w:val="Heading2"/>
      </w:pPr>
      <w:r>
        <w:t xml:space="preserve">IV. Medical Researcher: The Sales Catalyst</w:t>
      </w:r>
    </w:p>
    <w:p>
      <w:pPr>
        <w:pStyle w:val="FirstParagraph"/>
      </w:pPr>
      <w:r>
        <w:t xml:space="preserve">This Sales Report highlights the transformational impact of our dedicated Medical Researcher within the France Paris operation. Unlike traditional sales roles, this position uniquely bridges clinical expertise with commercial strategy:</w:t>
      </w:r>
    </w:p>
    <w:p>
      <w:pPr>
        <w:numPr>
          <w:ilvl w:val="0"/>
          <w:numId w:val="1001"/>
        </w:numPr>
        <w:pStyle w:val="Compact"/>
      </w:pPr>
      <w:r>
        <w:rPr>
          <w:bCs/>
          <w:b/>
        </w:rPr>
        <w:t xml:space="preserve">Clinical Credibility:</w:t>
      </w:r>
      <w:r>
        <w:t xml:space="preserve"> </w:t>
      </w:r>
      <w:r>
        <w:t xml:space="preserve">The Medical Researcher’s PhD in oncology and 12 years’ experience at Institut Curie enabled immediate trust-building with French hospital networks. This credibility directly accelerated negotiations—reducing sales cycles by 37% for complex trials.</w:t>
      </w:r>
    </w:p>
    <w:p>
      <w:pPr>
        <w:numPr>
          <w:ilvl w:val="0"/>
          <w:numId w:val="1001"/>
        </w:numPr>
        <w:pStyle w:val="Compact"/>
      </w:pPr>
      <w:r>
        <w:rPr>
          <w:bCs/>
          <w:b/>
        </w:rPr>
        <w:t xml:space="preserve">Regulatory Navigation:</w:t>
      </w:r>
      <w:r>
        <w:t xml:space="preserve"> </w:t>
      </w:r>
      <w:r>
        <w:t xml:space="preserve">With deep knowledge of ANSM requirements (including the new Article R.5124-16 on digital health trials), the Medical Researcher preempted compliance issues that previously stalled 29% of proposals in Q1 2023.</w:t>
      </w:r>
    </w:p>
    <w:p>
      <w:pPr>
        <w:numPr>
          <w:ilvl w:val="0"/>
          <w:numId w:val="1001"/>
        </w:numPr>
        <w:pStyle w:val="Compact"/>
      </w:pPr>
      <w:r>
        <w:rPr>
          <w:bCs/>
          <w:b/>
        </w:rPr>
        <w:t xml:space="preserve">Personalized Solutions:</w:t>
      </w:r>
      <w:r>
        <w:t xml:space="preserve"> </w:t>
      </w:r>
      <w:r>
        <w:t xml:space="preserve">By co-designing trial protocols with Parisian clinicians (e.g., adapting to France’s unique "Hospital Ethics Committee" processes), the team delivered bespoke solutions that resonated with local stakeholders, increasing client retention by 41%.</w:t>
      </w:r>
    </w:p>
    <w:bookmarkEnd w:id="23"/>
    <w:bookmarkStart w:id="24" w:name="X5abcfb0337d62a9d98d879547b7a9e3e5b09a81"/>
    <w:p>
      <w:pPr>
        <w:pStyle w:val="Heading2"/>
      </w:pPr>
      <w:r>
        <w:t xml:space="preserve">V. Competitive Differentiation in France Paris</w:t>
      </w:r>
    </w:p>
    <w:p>
      <w:pPr>
        <w:pStyle w:val="FirstParagraph"/>
      </w:pPr>
      <w:r>
        <w:t xml:space="preserve">Our Sales Report confirms that the Medical Researcher role has become our primary competitive advantage in Paris against global competitors like IQVIA and PAREXEL. While these firms rely on centralized research hubs, our on-ground Medical Researcher—embedded within the Montparnasse business district—provides real-time market intelligence:</w:t>
      </w:r>
    </w:p>
    <w:p>
      <w:pPr>
        <w:numPr>
          <w:ilvl w:val="0"/>
          <w:numId w:val="1002"/>
        </w:numPr>
        <w:pStyle w:val="Compact"/>
      </w:pPr>
      <w:r>
        <w:t xml:space="preserve">Identified a critical gap in French rare disease research (12% of Parisian hospitals lacked dedicated protocols), leading to a €850K pilot program with Assistance Publique-Hôpitaux de Paris (AP-HP).</w:t>
      </w:r>
    </w:p>
    <w:p>
      <w:pPr>
        <w:numPr>
          <w:ilvl w:val="0"/>
          <w:numId w:val="1002"/>
        </w:numPr>
        <w:pStyle w:val="Compact"/>
      </w:pPr>
      <w:r>
        <w:t xml:space="preserve">Adapted trial designs for French reimbursement structures, securing 3x more contracts than competitors in the oncology segment.</w:t>
      </w:r>
    </w:p>
    <w:p>
      <w:pPr>
        <w:numPr>
          <w:ilvl w:val="0"/>
          <w:numId w:val="1002"/>
        </w:numPr>
        <w:pStyle w:val="Compact"/>
      </w:pPr>
      <w:r>
        <w:t xml:space="preserve">Leveraged local academic partnerships (e.g., with École Normale Supérieure) to co-author white papers that generated 27 qualified leads—exceeding the Paris sales team's target by 190%.</w:t>
      </w:r>
    </w:p>
    <w:bookmarkEnd w:id="24"/>
    <w:bookmarkStart w:id="25" w:name="vi.-challenges-and-strategic-imperatives"/>
    <w:p>
      <w:pPr>
        <w:pStyle w:val="Heading2"/>
      </w:pPr>
      <w:r>
        <w:t xml:space="preserve">VI. Challenges and Strategic Imperatives</w:t>
      </w:r>
    </w:p>
    <w:p>
      <w:pPr>
        <w:pStyle w:val="FirstParagraph"/>
      </w:pPr>
      <w:r>
        <w:t xml:space="preserve">Despite strong performance, France Paris presents unique hurdles requiring Medical Researcher expertise:</w:t>
      </w:r>
    </w:p>
    <w:p>
      <w:pPr>
        <w:numPr>
          <w:ilvl w:val="0"/>
          <w:numId w:val="1003"/>
        </w:numPr>
        <w:pStyle w:val="Compact"/>
      </w:pPr>
      <w:r>
        <w:rPr>
          <w:bCs/>
          <w:b/>
        </w:rPr>
        <w:t xml:space="preserve">Cultural Nuances:</w:t>
      </w:r>
      <w:r>
        <w:t xml:space="preserve"> </w:t>
      </w:r>
      <w:r>
        <w:t xml:space="preserve">French clients prioritize "academic alignment" over pure commercial terms. The Medical Researcher’s ability to frame proposals around publication opportunities (e.g., collaborating with JAMA France) drove a 63% increase in RFP conversions.</w:t>
      </w:r>
    </w:p>
    <w:p>
      <w:pPr>
        <w:numPr>
          <w:ilvl w:val="0"/>
          <w:numId w:val="1003"/>
        </w:numPr>
        <w:pStyle w:val="Compact"/>
      </w:pPr>
      <w:r>
        <w:rPr>
          <w:bCs/>
          <w:b/>
        </w:rPr>
        <w:t xml:space="preserve">Regulatory Evolution:</w:t>
      </w:r>
      <w:r>
        <w:t xml:space="preserve"> </w:t>
      </w:r>
      <w:r>
        <w:t xml:space="preserve">New EU AI Act implications for clinical trials demand continuous Medical Researcher training—addressed through quarterly workshops with Paris-based ANSM specialists.</w:t>
      </w:r>
    </w:p>
    <w:p>
      <w:pPr>
        <w:numPr>
          <w:ilvl w:val="0"/>
          <w:numId w:val="1003"/>
        </w:numPr>
        <w:pStyle w:val="Compact"/>
      </w:pPr>
      <w:r>
        <w:rPr>
          <w:bCs/>
          <w:b/>
        </w:rPr>
        <w:t xml:space="preserve">Talent Retention:</w:t>
      </w:r>
      <w:r>
        <w:t xml:space="preserve"> </w:t>
      </w:r>
      <w:r>
        <w:t xml:space="preserve">78% of competitors struggle to retain medical researchers in France due to compensation gaps. Our Sales Report recommends a 15% Paris-specific performance bonus for this role starting Q1 2024.</w:t>
      </w:r>
    </w:p>
    <w:bookmarkEnd w:id="25"/>
    <w:bookmarkStart w:id="26" w:name="vii.-future-outlook-recommendations"/>
    <w:p>
      <w:pPr>
        <w:pStyle w:val="Heading2"/>
      </w:pPr>
      <w:r>
        <w:t xml:space="preserve">VII. Future Outlook &amp; Recommendations</w:t>
      </w:r>
    </w:p>
    <w:p>
      <w:pPr>
        <w:pStyle w:val="FirstParagraph"/>
      </w:pPr>
      <w:r>
        <w:t xml:space="preserve">Based on Q3 performance, we recommend doubling down on the Medical Researcher model across France Paris:</w:t>
      </w:r>
    </w:p>
    <w:p>
      <w:pPr>
        <w:numPr>
          <w:ilvl w:val="0"/>
          <w:numId w:val="1004"/>
        </w:numPr>
        <w:pStyle w:val="Compact"/>
      </w:pPr>
      <w:r>
        <w:rPr>
          <w:bCs/>
          <w:b/>
        </w:rPr>
        <w:t xml:space="preserve">Scale Expertise:</w:t>
      </w:r>
      <w:r>
        <w:t xml:space="preserve"> </w:t>
      </w:r>
      <w:r>
        <w:t xml:space="preserve">Hire a second Medical Researcher specializing in neurology by Q2 2024 to capture growth in France’s €5.1B neuroscience market (per National Health Data Observatory).</w:t>
      </w:r>
    </w:p>
    <w:p>
      <w:pPr>
        <w:numPr>
          <w:ilvl w:val="0"/>
          <w:numId w:val="1004"/>
        </w:numPr>
        <w:pStyle w:val="Compact"/>
      </w:pPr>
      <w:r>
        <w:rPr>
          <w:bCs/>
          <w:b/>
        </w:rPr>
        <w:t xml:space="preserve">Prioritize Paris Innovation Hubs:</w:t>
      </w:r>
      <w:r>
        <w:t xml:space="preserve"> </w:t>
      </w:r>
      <w:r>
        <w:t xml:space="preserve">Target partnerships with Paris Biotech Campus and Station F for early-stage trials—projected to generate €9M+ in new sales by 2024.</w:t>
      </w:r>
    </w:p>
    <w:p>
      <w:pPr>
        <w:numPr>
          <w:ilvl w:val="0"/>
          <w:numId w:val="1004"/>
        </w:numPr>
        <w:pStyle w:val="Compact"/>
      </w:pPr>
      <w:r>
        <w:rPr>
          <w:bCs/>
          <w:b/>
        </w:rPr>
        <w:t xml:space="preserve">Metrics Integration:</w:t>
      </w:r>
      <w:r>
        <w:t xml:space="preserve"> </w:t>
      </w:r>
      <w:r>
        <w:t xml:space="preserve">Embed the Medical Researcher’s impact into all Q4 sales KPIs, including "Regulatory Efficiency Score" (currently at 91% vs. industry 68%).</w:t>
      </w:r>
    </w:p>
    <w:bookmarkEnd w:id="26"/>
    <w:bookmarkStart w:id="27" w:name="viii.-conclusion"/>
    <w:p>
      <w:pPr>
        <w:pStyle w:val="Heading2"/>
      </w:pPr>
      <w:r>
        <w:t xml:space="preserve">VIII. Conclusion</w:t>
      </w:r>
    </w:p>
    <w:p>
      <w:pPr>
        <w:pStyle w:val="FirstParagraph"/>
      </w:pPr>
      <w:r>
        <w:t xml:space="preserve">This Sales Report conclusively demonstrates that in the France Paris medical research market, a skilled Medical Researcher is not an operational cost but a revenue engine. The strategic integration of clinical expertise into sales operations has positioned Global Health Innovations as the preferred partner for sophisticated French healthcare innovators. As we prepare for Q4, our Paris Medical Researcher will spearhead initiatives to expand into France’s emerging regenerative medicine sector—where we project 37% market growth annually. The data is unequivocal: Investing in localized medical research talent is the most effective sales strategy for conquering Europe's most demanding healthcare market.</w:t>
      </w:r>
    </w:p>
    <w:p>
      <w:pPr>
        <w:pStyle w:val="BodyText"/>
      </w:pPr>
      <w:r>
        <w:rPr>
          <w:iCs/>
          <w:i/>
        </w:rPr>
        <w:t xml:space="preserve">Prepared by: Global Health Innovations Sales Strategy Division</w:t>
      </w:r>
      <w:r>
        <w:br/>
      </w:r>
      <w:r>
        <w:rPr>
          <w:iCs/>
          <w:i/>
        </w:rPr>
        <w:t xml:space="preserve">For inquiries regarding France Paris Medical Researcher initiatives, contact sales.paris@globalhealthinnovations.com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Health Innovations - Sales Report: Medical Researcher Performance in France Paris</dc:title>
  <dc:creator/>
  <dc:language>en</dc:language>
  <cp:keywords/>
  <dcterms:created xsi:type="dcterms:W3CDTF">2026-07-24T06:14:53Z</dcterms:created>
  <dcterms:modified xsi:type="dcterms:W3CDTF">2026-07-24T06:14:53Z</dcterms:modified>
</cp:coreProperties>
</file>

<file path=docProps/custom.xml><?xml version="1.0" encoding="utf-8"?>
<Properties xmlns="http://schemas.openxmlformats.org/officeDocument/2006/custom-properties" xmlns:vt="http://schemas.openxmlformats.org/officeDocument/2006/docPropsVTypes"/>
</file>