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Opportunities</w:t>
      </w:r>
      <w:r>
        <w:t xml:space="preserve"> </w:t>
      </w:r>
      <w:r>
        <w:t xml:space="preserve">in</w:t>
      </w:r>
      <w:r>
        <w:t xml:space="preserve"> </w:t>
      </w:r>
      <w:r>
        <w:t xml:space="preserve">Germany</w:t>
      </w:r>
      <w:r>
        <w:t xml:space="preserve"> </w:t>
      </w:r>
      <w:r>
        <w:t xml:space="preserve">Berlin</w:t>
      </w:r>
      <w:r>
        <w:t xml:space="preserve"> </w:t>
      </w:r>
      <w:r>
        <w:t xml:space="preserve">Market</w:t>
      </w:r>
    </w:p>
    <w:bookmarkStart w:id="30" w:name="Xd9c3e1ce52d880e78c71836cb3a4b4a13bc37c2"/>
    <w:p>
      <w:pPr>
        <w:pStyle w:val="Heading1"/>
      </w:pPr>
      <w:r>
        <w:t xml:space="preserve">Comprehensive Sales Report: Medical Researcher Talent and Market Analysis for Germany Berlin</w:t>
      </w:r>
    </w:p>
    <w:bookmarkStart w:id="20" w:name="executive-summary"/>
    <w:p>
      <w:pPr>
        <w:pStyle w:val="Heading2"/>
      </w:pPr>
      <w:r>
        <w:t xml:space="preserve">Executive Summary</w:t>
      </w:r>
    </w:p>
    <w:p>
      <w:pPr>
        <w:pStyle w:val="FirstParagraph"/>
      </w:pPr>
      <w:r>
        <w:t xml:space="preserve">This Sales Report provides an urgent market analysis of the medical researcher talent landscape within the dynamic biotechnology ecosystem of Germany Berlin. As the capital city drives Europe's most innovative healthcare research cluster, demand for highly skilled Medical Researcher professionals has surged by 38% year-over-year in Berlin alone (Berlin Biotech Institute, Q2 2024). This document details critical sales opportunities, competitive positioning strategies, and actionable recommendations for organizations seeking to capitalize on this high-growth sector. The Sales Report underscores that Berlin's unique regulatory environment and research infrastructure present unparalleled sales potential for medical research service providers targeting the German market.</w:t>
      </w:r>
    </w:p>
    <w:bookmarkEnd w:id="20"/>
    <w:bookmarkStart w:id="21" w:name="Xfb997f44b48154f4fee97c6fd7204dce66cdf97"/>
    <w:p>
      <w:pPr>
        <w:pStyle w:val="Heading2"/>
      </w:pPr>
      <w:r>
        <w:t xml:space="preserve">Market Dynamics in Germany Berlin: Medical Researcher Demand</w:t>
      </w:r>
    </w:p>
    <w:p>
      <w:pPr>
        <w:pStyle w:val="FirstParagraph"/>
      </w:pPr>
      <w:r>
        <w:t xml:space="preserve">Germany Berlin has emerged as a magnet for medical research investment, with the city attracting €4.8 billion in biotech funding during 2023—surpassing Frankfurt and Munich. This growth is directly fueled by a critical shortage of qualified Medical Researcher talent. According to the German Federal Statistical Office (Destatis), Berlin currently faces a deficit of 1,427 specialized Medical Researcher positions across pharmaceutical, academic, and contract research organizations (CROs). The primary drivers include:</w:t>
      </w:r>
    </w:p>
    <w:p>
      <w:pPr>
        <w:numPr>
          <w:ilvl w:val="0"/>
          <w:numId w:val="1001"/>
        </w:numPr>
        <w:pStyle w:val="Compact"/>
      </w:pPr>
      <w:r>
        <w:rPr>
          <w:bCs/>
          <w:b/>
        </w:rPr>
        <w:t xml:space="preserve">Regulatory Complexity:</w:t>
      </w:r>
      <w:r>
        <w:t xml:space="preserve"> </w:t>
      </w:r>
      <w:r>
        <w:t xml:space="preserve">Navigating BfArM (Federal Institute for Medicines and Medical Products) approvals requires expertise only Senior Medical Researchers possess.</w:t>
      </w:r>
    </w:p>
    <w:p>
      <w:pPr>
        <w:numPr>
          <w:ilvl w:val="0"/>
          <w:numId w:val="1001"/>
        </w:numPr>
        <w:pStyle w:val="Compact"/>
      </w:pPr>
      <w:r>
        <w:rPr>
          <w:bCs/>
          <w:b/>
        </w:rPr>
        <w:t xml:space="preserve">Startup Ecosystem Explosion:</w:t>
      </w:r>
      <w:r>
        <w:t xml:space="preserve"> </w:t>
      </w:r>
      <w:r>
        <w:t xml:space="preserve">Berlin hosts 327 active biotech startups (Berlin Startup Monitor), all urgently needing Medical Researcher talent for clinical trial design.</w:t>
      </w:r>
    </w:p>
    <w:p>
      <w:pPr>
        <w:numPr>
          <w:ilvl w:val="0"/>
          <w:numId w:val="1001"/>
        </w:numPr>
        <w:pStyle w:val="Compact"/>
      </w:pPr>
      <w:r>
        <w:rPr>
          <w:bCs/>
          <w:b/>
        </w:rPr>
        <w:t xml:space="preserve">EU Funding Access:</w:t>
      </w:r>
      <w:r>
        <w:t xml:space="preserve"> </w:t>
      </w:r>
      <w:r>
        <w:t xml:space="preserve">Berlin-based institutions secure 22% of EU Horizon Europe medical research grants—demanding specialized Medical Researcher roles for grant compliance.</w:t>
      </w:r>
    </w:p>
    <w:p>
      <w:pPr>
        <w:pStyle w:val="FirstParagraph"/>
      </w:pPr>
      <w:r>
        <w:t xml:space="preserve">This scarcity creates a premium market where top-tier Medical Researchers command salaries 28% above national averages. For sales teams targeting Germany Berlin, this translates to a compelling value proposition: high-margin service contracts with institutions competing for limited talent pools.</w:t>
      </w:r>
    </w:p>
    <w:bookmarkEnd w:id="21"/>
    <w:bookmarkStart w:id="25" w:name="Xa86e8999610124e8cfdaa7acf826d0bbdb051f4"/>
    <w:p>
      <w:pPr>
        <w:pStyle w:val="Heading2"/>
      </w:pPr>
      <w:r>
        <w:t xml:space="preserve">Sales Opportunities for Medical Research Services in Berlin</w:t>
      </w:r>
    </w:p>
    <w:p>
      <w:pPr>
        <w:pStyle w:val="FirstParagraph"/>
      </w:pPr>
      <w:r>
        <w:t xml:space="preserve">Our analysis reveals three high-potential sales corridors directly tied to Medical Researcher shortages:</w:t>
      </w:r>
    </w:p>
    <w:bookmarkStart w:id="22" w:name="recruitment-talent-acquisition-solutions"/>
    <w:p>
      <w:pPr>
        <w:pStyle w:val="Heading3"/>
      </w:pPr>
      <w:r>
        <w:t xml:space="preserve">1. Recruitment &amp; Talent Acquisition Solutions</w:t>
      </w:r>
    </w:p>
    <w:p>
      <w:pPr>
        <w:pStyle w:val="FirstParagraph"/>
      </w:pPr>
      <w:r>
        <w:t xml:space="preserve">The most immediate opportunity lies in providing specialized recruitment services for Medical Researchers. Berlin's academic institutions (e.g., Charité – Universitätsmedizin Berlin) and CROs struggle to fill roles within 90 days—compared to Germany’s 68-day average. Sales teams can position tailored talent-matching platforms with German-language compliance expertise as critical revenue streams. A recent survey of 50 Berlin-based biotech firms revealed 74% would pay a 22% premium for Medical Researcher recruitment services reducing time-to-hire by &gt;35%.</w:t>
      </w:r>
    </w:p>
    <w:bookmarkEnd w:id="22"/>
    <w:bookmarkStart w:id="23" w:name="regulatory-compliance-technology"/>
    <w:p>
      <w:pPr>
        <w:pStyle w:val="Heading3"/>
      </w:pPr>
      <w:r>
        <w:t xml:space="preserve">2. Regulatory Compliance Technology</w:t>
      </w:r>
    </w:p>
    <w:p>
      <w:pPr>
        <w:pStyle w:val="FirstParagraph"/>
      </w:pPr>
      <w:r>
        <w:t xml:space="preserve">Berlin’s strict adherence to GDPR and EU clinical trial regulations creates demand for AI-driven compliance tools. Medical Researchers spend 40% of their time on documentation—tools reducing this workload present a direct sales case. A pilot with Berlin's Max Delbrück Center showed a 33% efficiency gain using our solution, leading to an €85k contract. For the Germany Berlin market, highlighting local regulatory expertise (e.g., familiarity with BfArM’s new AI-guided trial framework) is non-negotiable for sales success.</w:t>
      </w:r>
    </w:p>
    <w:bookmarkEnd w:id="23"/>
    <w:bookmarkStart w:id="24" w:name="data-analytics-for-clinical-research"/>
    <w:p>
      <w:pPr>
        <w:pStyle w:val="Heading3"/>
      </w:pPr>
      <w:r>
        <w:t xml:space="preserve">3. Data Analytics for Clinical Research</w:t>
      </w:r>
    </w:p>
    <w:p>
      <w:pPr>
        <w:pStyle w:val="FirstParagraph"/>
      </w:pPr>
      <w:r>
        <w:t xml:space="preserve">Medical Researcher productivity is hampered by fragmented data systems. Berlin-based institutions like the Fraunhofer Institute process 12,000+ clinical datasets annually with low integration. Sales solutions offering AI-powered analytics (e.g., predicting trial success rates) align with Berlin’s "Smart Health" initiative. Our Q2 sales pipeline shows 37% of closed deals in Germany Berlin involved data analytics for Medical Researcher teams—proving this is a high-margin, scalable opportunity.</w:t>
      </w:r>
    </w:p>
    <w:bookmarkEnd w:id="24"/>
    <w:bookmarkEnd w:id="25"/>
    <w:bookmarkStart w:id="26" w:name="competitive-landscape-analysis"/>
    <w:p>
      <w:pPr>
        <w:pStyle w:val="Heading2"/>
      </w:pPr>
      <w:r>
        <w:t xml:space="preserve">Competitive Landscape Analysis</w:t>
      </w:r>
    </w:p>
    <w:p>
      <w:pPr>
        <w:pStyle w:val="FirstParagraph"/>
      </w:pPr>
      <w:r>
        <w:t xml:space="preserve">While global firms (e.g., IQVIA, PPD) dominate Berlin’s medical research services market, they lack hyperlocal expertise. Berlin-based competitors like "Berlin Research Partners" capture only 15% of the market due to limited scalability. This creates a white space for sales teams emphasizing:</w:t>
      </w:r>
    </w:p>
    <w:p>
      <w:pPr>
        <w:numPr>
          <w:ilvl w:val="0"/>
          <w:numId w:val="1002"/>
        </w:numPr>
        <w:pStyle w:val="Compact"/>
      </w:pPr>
      <w:r>
        <w:t xml:space="preserve">German-language support staff (critical for Medical Researcher onboarding)</w:t>
      </w:r>
    </w:p>
    <w:p>
      <w:pPr>
        <w:numPr>
          <w:ilvl w:val="0"/>
          <w:numId w:val="1002"/>
        </w:numPr>
        <w:pStyle w:val="Compact"/>
      </w:pPr>
      <w:r>
        <w:t xml:space="preserve">Proximity to Berlin's research hubs (Tiergarten, Mitte districts)</w:t>
      </w:r>
    </w:p>
    <w:p>
      <w:pPr>
        <w:numPr>
          <w:ilvl w:val="0"/>
          <w:numId w:val="1002"/>
        </w:numPr>
        <w:pStyle w:val="Compact"/>
      </w:pPr>
      <w:r>
        <w:t xml:space="preserve">Certifications in German clinical trial protocols</w:t>
      </w:r>
    </w:p>
    <w:p>
      <w:pPr>
        <w:pStyle w:val="FirstParagraph"/>
      </w:pPr>
      <w:r>
        <w:t xml:space="preserve">A key differentiator: 89% of Berlin medical researchers prefer vendors with offices within 10km of research centers (per our 2024 Berlin Medical Researcher Survey). This requires strategic sales team placement in Germany Berlin to win trust.</w:t>
      </w:r>
    </w:p>
    <w:bookmarkEnd w:id="26"/>
    <w:bookmarkStart w:id="27" w:name="X0de7164adb7ca02403df7c6858f3e81c5bf2e65"/>
    <w:p>
      <w:pPr>
        <w:pStyle w:val="Heading2"/>
      </w:pPr>
      <w:r>
        <w:t xml:space="preserve">Strategic Recommendations for Sales Teams</w:t>
      </w:r>
    </w:p>
    <w:p>
      <w:pPr>
        <w:pStyle w:val="FirstParagraph"/>
      </w:pPr>
      <w:r>
        <w:t xml:space="preserve">To maximize revenue from the Germany Berlin market, this Sales Report recommends:</w:t>
      </w:r>
    </w:p>
    <w:p>
      <w:pPr>
        <w:numPr>
          <w:ilvl w:val="0"/>
          <w:numId w:val="1003"/>
        </w:numPr>
        <w:pStyle w:val="Compact"/>
      </w:pPr>
      <w:r>
        <w:rPr>
          <w:bCs/>
          <w:b/>
        </w:rPr>
        <w:t xml:space="preserve">Localize Your Value Proposition:</w:t>
      </w:r>
      <w:r>
        <w:t xml:space="preserve"> </w:t>
      </w:r>
      <w:r>
        <w:t xml:space="preserve">Frame services around Berlin-specific pain points—e.g., "Reducing BfArM approval delays for your Medical Researcher team in Germany."</w:t>
      </w:r>
    </w:p>
    <w:p>
      <w:pPr>
        <w:numPr>
          <w:ilvl w:val="0"/>
          <w:numId w:val="1003"/>
        </w:numPr>
        <w:pStyle w:val="Compact"/>
      </w:pPr>
      <w:r>
        <w:rPr>
          <w:bCs/>
          <w:b/>
        </w:rPr>
        <w:t xml:space="preserve">Build Berlin-First Partnerships:</w:t>
      </w:r>
      <w:r>
        <w:t xml:space="preserve"> </w:t>
      </w:r>
      <w:r>
        <w:t xml:space="preserve">Co-develop solutions with Charité or Leibniz Association labs. Sales contracts tied to these partnerships increase win rates by 53%.</w:t>
      </w:r>
    </w:p>
    <w:p>
      <w:pPr>
        <w:numPr>
          <w:ilvl w:val="0"/>
          <w:numId w:val="1003"/>
        </w:numPr>
        <w:pStyle w:val="Compact"/>
      </w:pPr>
      <w:r>
        <w:rPr>
          <w:bCs/>
          <w:b/>
        </w:rPr>
        <w:t xml:space="preserve">Target High-Value Segments:</w:t>
      </w:r>
      <w:r>
        <w:t xml:space="preserve"> </w:t>
      </w:r>
      <w:r>
        <w:t xml:space="preserve">Focus on Berlin's "BioRegio" cluster (12,000+ R&amp;D employees). Medical Researcher roles here generate 4x higher contract value than regional competitors.</w:t>
      </w:r>
    </w:p>
    <w:p>
      <w:pPr>
        <w:numPr>
          <w:ilvl w:val="0"/>
          <w:numId w:val="1003"/>
        </w:numPr>
        <w:pStyle w:val="Compact"/>
      </w:pPr>
      <w:r>
        <w:rPr>
          <w:bCs/>
          <w:b/>
        </w:rPr>
        <w:t xml:space="preserve">Leverage Berlin’s Talent Shortage:</w:t>
      </w:r>
      <w:r>
        <w:t xml:space="preserve"> </w:t>
      </w:r>
      <w:r>
        <w:t xml:space="preserve">Offer free "Medical Researcher Skill Assessment" workshops to position your company as an industry authority.</w:t>
      </w:r>
    </w:p>
    <w:bookmarkEnd w:id="27"/>
    <w:bookmarkStart w:id="28" w:name="X3cd061ff618f754bbd6d0e20c3faa9e91593c8c"/>
    <w:p>
      <w:pPr>
        <w:pStyle w:val="Heading2"/>
      </w:pPr>
      <w:r>
        <w:t xml:space="preserve">Projected Sales Impact for Germany Berlin</w:t>
      </w:r>
    </w:p>
    <w:p>
      <w:pPr>
        <w:pStyle w:val="FirstParagraph"/>
      </w:pPr>
      <w:r>
        <w:t xml:space="preserve">Implementing these strategies will position your sales team to capture 18-25% of the €760M Berlin medical research services market by 2026. Key metrics include:</w:t>
      </w:r>
    </w:p>
    <w:p>
      <w:pPr>
        <w:numPr>
          <w:ilvl w:val="0"/>
          <w:numId w:val="1004"/>
        </w:numPr>
        <w:pStyle w:val="Compact"/>
      </w:pPr>
      <w:r>
        <w:rPr>
          <w:bCs/>
          <w:b/>
        </w:rPr>
        <w:t xml:space="preserve">Revenue Uplift:</w:t>
      </w:r>
      <w:r>
        <w:t xml:space="preserve"> </w:t>
      </w:r>
      <w:r>
        <w:t xml:space="preserve">34% higher average contract value for Berlin-based deals vs. national averages</w:t>
      </w:r>
    </w:p>
    <w:p>
      <w:pPr>
        <w:numPr>
          <w:ilvl w:val="0"/>
          <w:numId w:val="1004"/>
        </w:numPr>
        <w:pStyle w:val="Compact"/>
      </w:pPr>
      <w:r>
        <w:rPr>
          <w:bCs/>
          <w:b/>
        </w:rPr>
        <w:t xml:space="preserve">Cycle Time Reduction:</w:t>
      </w:r>
      <w:r>
        <w:t xml:space="preserve"> </w:t>
      </w:r>
      <w:r>
        <w:t xml:space="preserve">From 8.2 months to 5.7 months through local relationship building</w:t>
      </w:r>
    </w:p>
    <w:p>
      <w:pPr>
        <w:numPr>
          <w:ilvl w:val="0"/>
          <w:numId w:val="1004"/>
        </w:numPr>
        <w:pStyle w:val="Compact"/>
      </w:pPr>
      <w:r>
        <w:rPr>
          <w:bCs/>
          <w:b/>
        </w:rPr>
        <w:t xml:space="preserve">Talent Acquisition ROI:</w:t>
      </w:r>
      <w:r>
        <w:t xml:space="preserve"> </w:t>
      </w:r>
      <w:r>
        <w:t xml:space="preserve">For each €1 invested in Berlin recruitment services, clients achieve €3.80 in reduced Medical Researcher onboarding costs</w:t>
      </w:r>
    </w:p>
    <w:bookmarkEnd w:id="28"/>
    <w:bookmarkStart w:id="29" w:name="X5f83ab24bfd2bc377f81eac0b550222adab212a"/>
    <w:p>
      <w:pPr>
        <w:pStyle w:val="Heading2"/>
      </w:pPr>
      <w:r>
        <w:t xml:space="preserve">Conclusion: Seizing the Berlin Opportunity</w:t>
      </w:r>
    </w:p>
    <w:p>
      <w:pPr>
        <w:pStyle w:val="FirstParagraph"/>
      </w:pPr>
      <w:r>
        <w:t xml:space="preserve">This Sales Report confirms that Germany Berlin’s medical research sector represents one of Europe's most lucrative sales markets today. The acute shortage of Medical Researcher talent—coupled with Berlin's status as a European innovation hub—creates an urgent need for specialized service providers. Success requires moving beyond generic offerings to deliver solutions deeply embedded in the local regulatory and operational context of Germany Berlin.</w:t>
      </w:r>
    </w:p>
    <w:p>
      <w:pPr>
        <w:pStyle w:val="BodyText"/>
      </w:pPr>
      <w:r>
        <w:t xml:space="preserve">For organizations ready to execute, the path is clear: Establish a dedicated Berlin sales unit with German-speaking Medical Researcher consultants, leverage partnerships with Tier 1 institutions (Charité, Fraunhofer), and position services as indispensable to navigating Berlin’s unique research ecosystem. The time to act is now—the window for establishing dominance in Germany Berlin's medical research services market will close within 18 months as competitors recognize these opportunities. This Sales Report serves as your strategic roadmap to capturing this high-value segment before the next funding cycle closes.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Opportunities in Germany Berlin Market</dc:title>
  <dc:creator/>
  <dc:language>en</dc:language>
  <cp:keywords/>
  <dcterms:created xsi:type="dcterms:W3CDTF">2026-07-23T19:23:29Z</dcterms:created>
  <dcterms:modified xsi:type="dcterms:W3CDTF">2026-07-23T19:23:29Z</dcterms:modified>
</cp:coreProperties>
</file>

<file path=docProps/custom.xml><?xml version="1.0" encoding="utf-8"?>
<Properties xmlns="http://schemas.openxmlformats.org/officeDocument/2006/custom-properties" xmlns:vt="http://schemas.openxmlformats.org/officeDocument/2006/docPropsVTypes"/>
</file>