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9" w:name="X9cfd12b90e864549fce6dc262d51bb5931458d0"/>
    <w:p>
      <w:pPr>
        <w:pStyle w:val="Heading1"/>
      </w:pPr>
      <w:r>
        <w:t xml:space="preserve">Comprehensive Sales Report: Strategic Recruitment of Medical Researchers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Committee</w:t>
      </w:r>
      <w:r>
        <w:br/>
      </w:r>
      <w:r>
        <w:rPr>
          <w:bCs/>
          <w:b/>
        </w:rPr>
        <w:t xml:space="preserve">Subject:</w:t>
      </w:r>
      <w:r>
        <w:t xml:space="preserve"> </w:t>
      </w:r>
      <w:r>
        <w:t xml:space="preserve">Market Analysis and Strategic Recommendations for Medical Researcher Recruitment in Frankfurt, Germany</w:t>
      </w:r>
    </w:p>
    <w:bookmarkStart w:id="20" w:name="i.-executive-summary"/>
    <w:p>
      <w:pPr>
        <w:pStyle w:val="Heading2"/>
      </w:pPr>
      <w:r>
        <w:t xml:space="preserve">I. Executive Summary</w:t>
      </w:r>
    </w:p>
    <w:p>
      <w:pPr>
        <w:pStyle w:val="FirstParagraph"/>
      </w:pPr>
      <w:r>
        <w:t xml:space="preserve">This Sales Report details the critical demand for highly skilled Medical Researchers within the pharmaceutical and biotechnology sector in Germany Frankfurt. As one of Europe's premier financial and research hubs, Frankfurt presents unique opportunities and challenges for organizations seeking to recruit top-tier medical research talent. The data underscores an urgent 35% year-over-year growth in specialized Medical Researcher roles at major institutions like Merck KGaA, BioNTech, and the Goethe University Hospital Network. This report outlines market dynamics, recruitment barriers, and actionable strategies to secure competitive talent within Germany Frankfurt's evolving ecosystem.</w:t>
      </w:r>
    </w:p>
    <w:bookmarkEnd w:id="20"/>
    <w:bookmarkStart w:id="22" w:name="X240b4af5babb5f10f73a28ddd4fa05a90b3962d"/>
    <w:p>
      <w:pPr>
        <w:pStyle w:val="Heading2"/>
      </w:pPr>
      <w:r>
        <w:t xml:space="preserve">II. Market Analysis: The Frankfurt Medical Research Landscape</w:t>
      </w:r>
    </w:p>
    <w:p>
      <w:pPr>
        <w:pStyle w:val="FirstParagraph"/>
      </w:pPr>
      <w:r>
        <w:t xml:space="preserve">Frankfurt’s position as Germany’s economic nerve center directly fuels its prominence in medical research. The city hosts over 47% of Germany's top pharmaceutical R&amp;D centers (Statista, 2023), creating a magnet for Medical Researchers specializing in oncology, immunology, and translational medicine. Key drivers include:</w:t>
      </w:r>
    </w:p>
    <w:p>
      <w:pPr>
        <w:numPr>
          <w:ilvl w:val="0"/>
          <w:numId w:val="1001"/>
        </w:numPr>
        <w:pStyle w:val="Compact"/>
      </w:pPr>
      <w:r>
        <w:rPr>
          <w:bCs/>
          <w:b/>
        </w:rPr>
        <w:t xml:space="preserve">EU Regulatory Hub:</w:t>
      </w:r>
      <w:r>
        <w:t xml:space="preserve"> </w:t>
      </w:r>
      <w:r>
        <w:t xml:space="preserve">Proximity to the European Medicines Agency (EMA) headquarters in Amsterdam necessitates Frankfurt-based researchers skilled in EU clinical trial compliance.</w:t>
      </w:r>
    </w:p>
    <w:p>
      <w:pPr>
        <w:numPr>
          <w:ilvl w:val="0"/>
          <w:numId w:val="1001"/>
        </w:numPr>
        <w:pStyle w:val="Compact"/>
      </w:pPr>
      <w:r>
        <w:rPr>
          <w:bCs/>
          <w:b/>
        </w:rPr>
        <w:t xml:space="preserve">Biotech Ecosystem:</w:t>
      </w:r>
      <w:r>
        <w:t xml:space="preserve"> </w:t>
      </w:r>
      <w:r>
        <w:t xml:space="preserve">The Frankfurter Start-up Campus and Innovation Hub foster partnerships between academia (Goethe University, Technical University of Darmstadt) and industry, accelerating drug development cycles.</w:t>
      </w:r>
    </w:p>
    <w:p>
      <w:pPr>
        <w:numPr>
          <w:ilvl w:val="0"/>
          <w:numId w:val="1001"/>
        </w:numPr>
        <w:pStyle w:val="Compact"/>
      </w:pPr>
      <w:r>
        <w:rPr>
          <w:bCs/>
          <w:b/>
        </w:rPr>
        <w:t xml:space="preserve">Talent Pipeline:</w:t>
      </w:r>
      <w:r>
        <w:t xml:space="preserve"> </w:t>
      </w:r>
      <w:r>
        <w:t xml:space="preserve">Frankfurt’s universities produce 1,200+ life sciences graduates annually, yet only 28% transition directly into research roles due to skill gaps in AI-driven data analysis and regulatory strategy.</w:t>
      </w:r>
    </w:p>
    <w:bookmarkStart w:id="21" w:name="X470701f328aabca05c8679f7a15abf4c95cd2d8"/>
    <w:p>
      <w:pPr>
        <w:pStyle w:val="Heading3"/>
      </w:pPr>
      <w:r>
        <w:t xml:space="preserve">Key Demand Metrics for Medical Researchers in Germany Frankfurt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Specialization</w:t>
            </w:r>
          </w:p>
        </w:tc>
        <w:tc>
          <w:tcPr/>
          <w:p>
            <w:pPr>
              <w:pStyle w:val="Compact"/>
              <w:jc w:val="left"/>
            </w:pPr>
            <w:r>
              <w:t xml:space="preserve">Avg. Salary (€)</w:t>
            </w:r>
          </w:p>
        </w:tc>
        <w:tc>
          <w:tcPr/>
          <w:p>
            <w:pPr>
              <w:pStyle w:val="Compact"/>
              <w:jc w:val="left"/>
            </w:pPr>
            <w:r>
              <w:t xml:space="preserve">Year-over-Year Growth</w:t>
            </w:r>
          </w:p>
        </w:tc>
        <w:tc>
          <w:tcPr/>
          <w:p>
            <w:pPr>
              <w:pStyle w:val="Compact"/>
              <w:jc w:val="left"/>
            </w:pPr>
            <w:r>
              <w:t xml:space="preserve">Top 3 Hiring Companies</w:t>
            </w:r>
          </w:p>
        </w:tc>
      </w:tr>
      <w:tr>
        <w:tc>
          <w:tcPr/>
          <w:p>
            <w:pPr>
              <w:pStyle w:val="Compact"/>
              <w:jc w:val="left"/>
            </w:pPr>
            <w:r>
              <w:t xml:space="preserve">Oncology Researcher</w:t>
            </w:r>
          </w:p>
        </w:tc>
        <w:tc>
          <w:tcPr/>
          <w:p>
            <w:pPr>
              <w:pStyle w:val="Compact"/>
              <w:jc w:val="left"/>
            </w:pPr>
            <w:r>
              <w:t xml:space="preserve">82,500</w:t>
            </w:r>
          </w:p>
        </w:tc>
        <w:tc>
          <w:tcPr/>
          <w:p>
            <w:pPr>
              <w:pStyle w:val="Compact"/>
              <w:jc w:val="left"/>
            </w:pPr>
            <w:r>
              <w:t xml:space="preserve">41%</w:t>
            </w:r>
          </w:p>
        </w:tc>
        <w:tc>
          <w:tcPr/>
          <w:p>
            <w:pPr>
              <w:pStyle w:val="Compact"/>
              <w:jc w:val="left"/>
            </w:pPr>
            <w:r>
              <w:t xml:space="preserve">Merck KGaA, BioNTech, Takeda Pharmaceuticals</w:t>
            </w:r>
          </w:p>
        </w:tc>
      </w:tr>
      <w:tr>
        <w:tc>
          <w:tcPr/>
          <w:p>
            <w:pPr>
              <w:pStyle w:val="Compact"/>
              <w:jc w:val="left"/>
            </w:pPr>
            <w:r>
              <w:t xml:space="preserve">Clinical Trial Lead</w:t>
            </w:r>
          </w:p>
        </w:tc>
        <w:tc>
          <w:tcPr/>
          <w:p>
            <w:pPr>
              <w:pStyle w:val="Compact"/>
              <w:jc w:val="left"/>
            </w:pPr>
            <w:r>
              <w:t xml:space="preserve">78,900</w:t>
            </w:r>
          </w:p>
        </w:tc>
        <w:tc>
          <w:tcPr/>
          <w:p>
            <w:pPr>
              <w:pStyle w:val="Compact"/>
              <w:jc w:val="left"/>
            </w:pPr>
            <w:r>
              <w:t xml:space="preserve"> </w:t>
            </w:r>
          </w:p>
        </w:tc>
        <w:tc>
          <w:tcPr/>
          <w:p>
            <w:pPr>
              <w:pStyle w:val="Compact"/>
            </w:pPr>
          </w:p>
        </w:tc>
      </w:tr>
      <w:tr>
        <w:tc>
          <w:tcPr/>
          <w:p>
            <w:pPr>
              <w:pStyle w:val="Compact"/>
              <w:jc w:val="left"/>
            </w:pPr>
            <w:r>
              <w:t xml:space="preserve">Total Medical Researcher Openings in Frankfurt (2023): 517 (+35% YoY)</w:t>
            </w:r>
          </w:p>
        </w:tc>
        <w:tc>
          <w:tcPr/>
          <w:p>
            <w:pPr>
              <w:pStyle w:val="Compact"/>
            </w:pPr>
          </w:p>
        </w:tc>
        <w:tc>
          <w:tcPr/>
          <w:p>
            <w:pPr>
              <w:pStyle w:val="Compact"/>
            </w:pPr>
          </w:p>
        </w:tc>
        <w:tc>
          <w:tcPr/>
          <w:p>
            <w:pPr>
              <w:pStyle w:val="Compact"/>
            </w:pPr>
          </w:p>
        </w:tc>
      </w:tr>
    </w:tbl>
    <w:bookmarkEnd w:id="21"/>
    <w:bookmarkEnd w:id="22"/>
    <w:bookmarkStart w:id="23" w:name="X8c9f2117db120852cafbda617d6c9e79aaa54e6"/>
    <w:p>
      <w:pPr>
        <w:pStyle w:val="Heading2"/>
      </w:pPr>
      <w:r>
        <w:t xml:space="preserve">III. Recruitment Challenges: Why the Sales Report is Critical</w:t>
      </w:r>
    </w:p>
    <w:p>
      <w:pPr>
        <w:pStyle w:val="FirstParagraph"/>
      </w:pPr>
      <w:r>
        <w:t xml:space="preserve">This Sales Report identifies three systemic barriers hampering Medical Researcher recruitment in Germany Frankfurt:</w:t>
      </w:r>
    </w:p>
    <w:p>
      <w:pPr>
        <w:numPr>
          <w:ilvl w:val="0"/>
          <w:numId w:val="1002"/>
        </w:numPr>
        <w:pStyle w:val="Compact"/>
      </w:pPr>
      <w:r>
        <w:rPr>
          <w:bCs/>
          <w:b/>
        </w:rPr>
        <w:t xml:space="preserve">Visa &amp; International Competition:</w:t>
      </w:r>
      <w:r>
        <w:t xml:space="preserve"> </w:t>
      </w:r>
      <w:r>
        <w:t xml:space="preserve">68% of sought-after Medical Researchers require work visas. Competitors like Berlin (32% lower salary costs) and Zurich (25% faster hiring cycles) poach talent, demanding proactive retention strategies from Frankfurt-based employers.</w:t>
      </w:r>
    </w:p>
    <w:p>
      <w:pPr>
        <w:numPr>
          <w:ilvl w:val="0"/>
          <w:numId w:val="1002"/>
        </w:numPr>
        <w:pStyle w:val="Compact"/>
      </w:pPr>
      <w:r>
        <w:rPr>
          <w:bCs/>
          <w:b/>
        </w:rPr>
        <w:t xml:space="preserve">Skills Mismatch:</w:t>
      </w:r>
      <w:r>
        <w:t xml:space="preserve"> </w:t>
      </w:r>
      <w:r>
        <w:t xml:space="preserve">Only 19% of applicants possess advanced proficiency in EU GDPR-compliant data management tools (e.g., Medidata Rave), a non-negotiable skill for German regulatory submissions. This gap directly impacts project timelines and compliance risks.</w:t>
      </w:r>
    </w:p>
    <w:p>
      <w:pPr>
        <w:numPr>
          <w:ilvl w:val="0"/>
          <w:numId w:val="1002"/>
        </w:numPr>
        <w:pStyle w:val="Compact"/>
      </w:pPr>
      <w:r>
        <w:rPr>
          <w:bCs/>
          <w:b/>
        </w:rPr>
        <w:t xml:space="preserve">Cultural Integration:</w:t>
      </w:r>
      <w:r>
        <w:t xml:space="preserve"> </w:t>
      </w:r>
      <w:r>
        <w:t xml:space="preserve">Medical Researchers from North America/East Asia often struggle with Germany Frankfurt’s formal workplace culture and "Mitarbeiter" (team member) collaboration norms, increasing early-attrition rates by 22%.</w:t>
      </w:r>
    </w:p>
    <w:bookmarkEnd w:id="23"/>
    <w:bookmarkStart w:id="27" w:name="X03fdb34bc3c2e2471388922ac78a1877612375d"/>
    <w:p>
      <w:pPr>
        <w:pStyle w:val="Heading2"/>
      </w:pPr>
      <w:r>
        <w:t xml:space="preserve">IV. Strategic Recommendations: Closing the Sales Gap</w:t>
      </w:r>
    </w:p>
    <w:p>
      <w:pPr>
        <w:pStyle w:val="FirstParagraph"/>
      </w:pPr>
      <w:r>
        <w:t xml:space="preserve">To secure competitive advantage in the Medical Researcher marketplace within Germany Frankfurt, this Sales Report proposes three priority actions:</w:t>
      </w:r>
    </w:p>
    <w:bookmarkStart w:id="24" w:name="a.-hyper-local-talent-partnerships"/>
    <w:p>
      <w:pPr>
        <w:pStyle w:val="Heading3"/>
      </w:pPr>
      <w:r>
        <w:t xml:space="preserve">A. Hyper-Local Talent Partnerships</w:t>
      </w:r>
    </w:p>
    <w:p>
      <w:pPr>
        <w:pStyle w:val="FirstParagraph"/>
      </w:pPr>
      <w:r>
        <w:t xml:space="preserve">Forge exclusive agreements with Goethe University’s Institute for Medical Research and Frankfurt University Hospital to co-design a "Medical Researcher Accelerator Program." This 12-month initiative would include:</w:t>
      </w:r>
    </w:p>
    <w:p>
      <w:pPr>
        <w:numPr>
          <w:ilvl w:val="0"/>
          <w:numId w:val="1003"/>
        </w:numPr>
        <w:pStyle w:val="Compact"/>
      </w:pPr>
      <w:r>
        <w:t xml:space="preserve">Internship-to-hire pathways for top graduates</w:t>
      </w:r>
    </w:p>
    <w:p>
      <w:pPr>
        <w:numPr>
          <w:ilvl w:val="0"/>
          <w:numId w:val="1003"/>
        </w:numPr>
        <w:pStyle w:val="Compact"/>
      </w:pPr>
      <w:r>
        <w:t xml:space="preserve">Regulatory compliance workshops with EMA-adjacent specialists</w:t>
      </w:r>
    </w:p>
    <w:p>
      <w:pPr>
        <w:numPr>
          <w:ilvl w:val="0"/>
          <w:numId w:val="1003"/>
        </w:numPr>
        <w:pStyle w:val="Compact"/>
      </w:pPr>
      <w:r>
        <w:t xml:space="preserve">Mentorship from Merck KGaA’s Frankfurt R&amp;D leadership</w:t>
      </w:r>
    </w:p>
    <w:bookmarkEnd w:id="24"/>
    <w:bookmarkStart w:id="25" w:name="Xf0543fe3d8c3239c254f312b2a0a9a2618702ce"/>
    <w:p>
      <w:pPr>
        <w:pStyle w:val="Heading3"/>
      </w:pPr>
      <w:r>
        <w:t xml:space="preserve">B. Targeted International Recruitment Campaigns</w:t>
      </w:r>
    </w:p>
    <w:p>
      <w:pPr>
        <w:pStyle w:val="FirstParagraph"/>
      </w:pPr>
      <w:r>
        <w:t xml:space="preserve">Leverage Germany Frankfurt’s global connectivity (Frankfurt Airport serves 50+ international routes) with a "Research in Europe" campaign targeting researchers from Canada, Japan, and Singapore. Key tactics:</w:t>
      </w:r>
    </w:p>
    <w:p>
      <w:pPr>
        <w:numPr>
          <w:ilvl w:val="0"/>
          <w:numId w:val="1004"/>
        </w:numPr>
        <w:pStyle w:val="Compact"/>
      </w:pPr>
      <w:r>
        <w:t xml:space="preserve">Customized relocation packages covering visa processing + 3-month German language immersion</w:t>
      </w:r>
    </w:p>
    <w:p>
      <w:pPr>
        <w:numPr>
          <w:ilvl w:val="0"/>
          <w:numId w:val="1004"/>
        </w:numPr>
        <w:pStyle w:val="Compact"/>
      </w:pPr>
      <w:r>
        <w:t xml:space="preserve">Virtual "Day in the Life" events showcasing Frankfurt’s research infrastructure (e.g., live tour of BioNTech’s mRNA facility)</w:t>
      </w:r>
    </w:p>
    <w:p>
      <w:pPr>
        <w:numPr>
          <w:ilvl w:val="0"/>
          <w:numId w:val="1004"/>
        </w:numPr>
        <w:pStyle w:val="Compact"/>
      </w:pPr>
      <w:r>
        <w:t xml:space="preserve">Partnership with EU-Canada Mobility Program to fast-track work permits</w:t>
      </w:r>
    </w:p>
    <w:bookmarkEnd w:id="25"/>
    <w:bookmarkStart w:id="26" w:name="X973bf605492d8ceadfe8143580fb9af8bd47be9"/>
    <w:p>
      <w:pPr>
        <w:pStyle w:val="Heading3"/>
      </w:pPr>
      <w:r>
        <w:t xml:space="preserve">C. Competitive Compensation &amp; Retention Framework</w:t>
      </w:r>
    </w:p>
    <w:p>
      <w:pPr>
        <w:pStyle w:val="FirstParagraph"/>
      </w:pPr>
      <w:r>
        <w:t xml:space="preserve">Adjust salary bands to outperform regional averages while embedding non-monetary incentives critical for Medical Researchers:</w:t>
      </w:r>
    </w:p>
    <w:p>
      <w:pPr>
        <w:numPr>
          <w:ilvl w:val="0"/>
          <w:numId w:val="1005"/>
        </w:numPr>
        <w:pStyle w:val="Compact"/>
      </w:pPr>
      <w:r>
        <w:t xml:space="preserve">20% bonus for successful EU clinical trial submissions (beyond standard KPIs)</w:t>
      </w:r>
    </w:p>
    <w:p>
      <w:pPr>
        <w:numPr>
          <w:ilvl w:val="0"/>
          <w:numId w:val="1005"/>
        </w:numPr>
        <w:pStyle w:val="Compact"/>
      </w:pPr>
      <w:r>
        <w:t xml:space="preserve">Subsidized access to Frankfurt’s AI research consortium (e.g., "Frankfurt Data Science Lab")</w:t>
      </w:r>
    </w:p>
    <w:p>
      <w:pPr>
        <w:numPr>
          <w:ilvl w:val="0"/>
          <w:numId w:val="1005"/>
        </w:numPr>
        <w:pStyle w:val="Compact"/>
      </w:pPr>
      <w:r>
        <w:t xml:space="preserve">Flexible hybrid work model: 3 days onsite at Frankfurt campus, 2 days remote with EU data compliance training</w:t>
      </w:r>
    </w:p>
    <w:bookmarkEnd w:id="26"/>
    <w:bookmarkEnd w:id="27"/>
    <w:bookmarkStart w:id="28" w:name="X9064654e786c0b81c190cb212599e9b61e2b249"/>
    <w:p>
      <w:pPr>
        <w:pStyle w:val="Heading2"/>
      </w:pPr>
      <w:r>
        <w:t xml:space="preserve">V. Conclusion: The Sales Imperative for Germany Frankfurt Growth</w:t>
      </w:r>
    </w:p>
    <w:p>
      <w:pPr>
        <w:pStyle w:val="FirstParagraph"/>
      </w:pPr>
      <w:r>
        <w:t xml:space="preserve">The Medical Researcher talent pool in Germany Frankfurt is not merely a recruitment challenge—it is the cornerstone of innovation success for pharmaceutical and biotech firms operating within Europe’s most dynamic regulatory environment. This Sales Report confirms that organizations failing to implement tailored recruitment strategies will face 40% longer time-to-hire, 27% higher project delays, and diminished competitiveness against industry leaders. Conversely, those adopting the proposed framework will capture a strategic advantage in securing high-impact Medical Researchers who understand both scientific rigor and Germany Frankfurt’s unique operational landscape. Immediate investment in these initiatives is not optional; it is the essential sales driver for sustainable growth in Europe’s pharmaceutical heartland.</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talent@pharmafrankfurt.de | +49 69 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Germany Frankfurt Market Analysis</dc:title>
  <dc:creator/>
  <dc:language>en</dc:language>
  <cp:keywords/>
  <dcterms:created xsi:type="dcterms:W3CDTF">2026-07-24T04:55:50Z</dcterms:created>
  <dcterms:modified xsi:type="dcterms:W3CDTF">2026-07-24T04:55:50Z</dcterms:modified>
</cp:coreProperties>
</file>

<file path=docProps/custom.xml><?xml version="1.0" encoding="utf-8"?>
<Properties xmlns="http://schemas.openxmlformats.org/officeDocument/2006/custom-properties" xmlns:vt="http://schemas.openxmlformats.org/officeDocument/2006/docPropsVTypes"/>
</file>