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Medical</w:t>
      </w:r>
      <w:r>
        <w:t xml:space="preserve"> </w:t>
      </w:r>
      <w:r>
        <w:t xml:space="preserve">Researcher</w:t>
      </w:r>
      <w:r>
        <w:t xml:space="preserve"> </w:t>
      </w:r>
      <w:r>
        <w:t xml:space="preserve">Engagement</w:t>
      </w:r>
      <w:r>
        <w:t xml:space="preserve"> </w:t>
      </w:r>
      <w:r>
        <w:t xml:space="preserve">Strategy</w:t>
      </w:r>
      <w:r>
        <w:t xml:space="preserve"> </w:t>
      </w:r>
      <w:r>
        <w:t xml:space="preserve">in</w:t>
      </w:r>
      <w:r>
        <w:t xml:space="preserve"> </w:t>
      </w:r>
      <w:r>
        <w:t xml:space="preserve">Germany</w:t>
      </w:r>
      <w:r>
        <w:t xml:space="preserve"> </w:t>
      </w:r>
      <w:r>
        <w:t xml:space="preserve">Munich</w:t>
      </w:r>
    </w:p>
    <w:bookmarkStart w:id="28" w:name="X7f1ba5d649e2c34576e3095f29fdbc47cd9d7c5"/>
    <w:p>
      <w:pPr>
        <w:pStyle w:val="Heading1"/>
      </w:pPr>
      <w:r>
        <w:t xml:space="preserve">Q3 2024 Sales Performance Report: Medical Researcher Engagement Strategy in Germany Munich</w:t>
      </w:r>
    </w:p>
    <w:bookmarkStart w:id="20" w:name="executive-summary"/>
    <w:p>
      <w:pPr>
        <w:pStyle w:val="Heading2"/>
      </w:pPr>
      <w:r>
        <w:t xml:space="preserve">Executive Summary</w:t>
      </w:r>
    </w:p>
    <w:p>
      <w:pPr>
        <w:pStyle w:val="FirstParagraph"/>
      </w:pPr>
      <w:r>
        <w:t xml:space="preserve">This comprehensive sales report details the strategic performance of our Medical Researcher engagement initiatives within the Germany Munich market during Q3 2024. As a pivotal hub for pharmaceutical innovation and medical technology in Europe, Munich represents a high-value territory where specialized Medical Researcher expertise directly drives sales outcomes. The quarter demonstrated exceptional growth in client acquisition and retention metrics, with Munich-based initiatives contributing to 38% of total European revenue growth. This report validates that integrating Medical Researcher capabilities into our sales framework is not merely advantageous but essential for sustainable market leadership in Germany.</w:t>
      </w:r>
    </w:p>
    <w:bookmarkEnd w:id="20"/>
    <w:bookmarkStart w:id="21" w:name="X2f74c0a46626a47d6a9ab8794701d99bc37c29e"/>
    <w:p>
      <w:pPr>
        <w:pStyle w:val="Heading2"/>
      </w:pPr>
      <w:r>
        <w:t xml:space="preserve">Market Context: Germany Munich as a Strategic Sales Territory</w:t>
      </w:r>
    </w:p>
    <w:p>
      <w:pPr>
        <w:pStyle w:val="FirstParagraph"/>
      </w:pPr>
      <w:r>
        <w:t xml:space="preserve">Munich stands as the undisputed epicenter of medical research and pharmaceutical innovation in Germany. Home to 14 major research institutions, including the Max Planck Society, Helmholtz Association, and Ludwig Maximilian University (LMU), the city hosts over 70% of Germany’s top-tier biomedical research output. This ecosystem directly fuels our sales pipeline: Munich-based Medical Researcher professionals serve as critical bridges between our R&amp;D capabilities and client needs. The city’s proximity to global pharma headquarters (Bayer, Roche, Takeda) and stringent EU regulatory environment demand hyper-specialized expertise—making our Medical Researcher-led approach indispensable for closing high-value contracts.</w:t>
      </w:r>
    </w:p>
    <w:bookmarkEnd w:id="21"/>
    <w:bookmarkStart w:id="22" w:name="Xc7f706bc2e21740e9652eb20879f7b3be93ba10"/>
    <w:p>
      <w:pPr>
        <w:pStyle w:val="Heading2"/>
      </w:pPr>
      <w:r>
        <w:t xml:space="preserve">Q3 Sales Performance Metrics: Medical Researcher Impact</w:t>
      </w:r>
    </w:p>
    <w:p>
      <w:pPr>
        <w:pStyle w:val="FirstParagraph"/>
      </w:pPr>
      <w:r>
        <w:t xml:space="preserve">Our Munich-focused strategy centered on deploying certified Medical Researchers as technical account managers. Key results include:</w:t>
      </w:r>
    </w:p>
    <w:p>
      <w:pPr>
        <w:numPr>
          <w:ilvl w:val="0"/>
          <w:numId w:val="1001"/>
        </w:numPr>
        <w:pStyle w:val="Compact"/>
      </w:pPr>
      <w:r>
        <w:rPr>
          <w:bCs/>
          <w:b/>
        </w:rPr>
        <w:t xml:space="preserve">Revenue Growth:</w:t>
      </w:r>
      <w:r>
        <w:t xml:space="preserve"> </w:t>
      </w:r>
      <w:r>
        <w:t xml:space="preserve">27% YoY increase in Munich sales, driven by 19 new enterprise contracts secured through Medical Researcher-led client engagements. All major deals (&gt;€500k) were won due to the researcher’s ability to translate complex clinical data into actionable commercial insights.</w:t>
      </w:r>
    </w:p>
    <w:p>
      <w:pPr>
        <w:numPr>
          <w:ilvl w:val="0"/>
          <w:numId w:val="1001"/>
        </w:numPr>
        <w:pStyle w:val="Compact"/>
      </w:pPr>
      <w:r>
        <w:rPr>
          <w:bCs/>
          <w:b/>
        </w:rPr>
        <w:t xml:space="preserve">Client Retention:</w:t>
      </w:r>
      <w:r>
        <w:t xml:space="preserve"> </w:t>
      </w:r>
      <w:r>
        <w:t xml:space="preserve">96% renewal rate for existing Munich clients (vs. industry average of 82%), attributed to Medical Researchers providing continuous scientific validation during product lifecycle management.</w:t>
      </w:r>
    </w:p>
    <w:p>
      <w:pPr>
        <w:numPr>
          <w:ilvl w:val="0"/>
          <w:numId w:val="1001"/>
        </w:numPr>
        <w:pStyle w:val="Compact"/>
      </w:pPr>
      <w:r>
        <w:rPr>
          <w:bCs/>
          <w:b/>
        </w:rPr>
        <w:t xml:space="preserve">Deal Velocity:</w:t>
      </w:r>
      <w:r>
        <w:t xml:space="preserve"> </w:t>
      </w:r>
      <w:r>
        <w:t xml:space="preserve">Average sales cycle shortened by 34% as Medical Researchers pre-empted technical objections with evidence-based responses during client meetings, leveraging their deep understanding of local regulatory frameworks (e.g., AMG, GDPR-compliant data handling).</w:t>
      </w:r>
    </w:p>
    <w:p>
      <w:pPr>
        <w:numPr>
          <w:ilvl w:val="0"/>
          <w:numId w:val="1001"/>
        </w:numPr>
        <w:pStyle w:val="Compact"/>
      </w:pPr>
      <w:r>
        <w:rPr>
          <w:bCs/>
          <w:b/>
        </w:rPr>
        <w:t xml:space="preserve">KOL Engagement:</w:t>
      </w:r>
      <w:r>
        <w:t xml:space="preserve"> </w:t>
      </w:r>
      <w:r>
        <w:t xml:space="preserve">87% increase in High-Impact Key Opinion Leader (KOL) collaborations through Medical Researchers facilitating scientific workshops at Munich’s prestigious BioMedizinische Cluster events.</w:t>
      </w:r>
    </w:p>
    <w:bookmarkEnd w:id="22"/>
    <w:bookmarkStart w:id="23" w:name="Xd8e611b5b3dfdc15838116bb54ad76e2f592317"/>
    <w:p>
      <w:pPr>
        <w:pStyle w:val="Heading2"/>
      </w:pPr>
      <w:r>
        <w:t xml:space="preserve">Medical Researcher: The Sales Catalyst in Germany Munich</w:t>
      </w:r>
    </w:p>
    <w:p>
      <w:pPr>
        <w:pStyle w:val="FirstParagraph"/>
      </w:pPr>
      <w:r>
        <w:t xml:space="preserve">The success of our strategy hinges on the unique value proposition of our Medical Researchers. Unlike traditional sales personnel, these professionals possess dual expertise:</w:t>
      </w:r>
    </w:p>
    <w:p>
      <w:pPr>
        <w:numPr>
          <w:ilvl w:val="0"/>
          <w:numId w:val="1002"/>
        </w:numPr>
        <w:pStyle w:val="Compact"/>
      </w:pPr>
      <w:r>
        <w:rPr>
          <w:bCs/>
          <w:b/>
        </w:rPr>
        <w:t xml:space="preserve">Clinical &amp; Scientific Acumen:</w:t>
      </w:r>
      <w:r>
        <w:t xml:space="preserve"> </w:t>
      </w:r>
      <w:r>
        <w:t xml:space="preserve">All Munich Medical Researchers hold PhDs or MDs with 5+ years in clinical research, enabling them to dissect client trial protocols and identify integration points for our solutions.</w:t>
      </w:r>
    </w:p>
    <w:p>
      <w:pPr>
        <w:numPr>
          <w:ilvl w:val="0"/>
          <w:numId w:val="1002"/>
        </w:numPr>
        <w:pStyle w:val="Compact"/>
      </w:pPr>
      <w:r>
        <w:rPr>
          <w:bCs/>
          <w:b/>
        </w:rPr>
        <w:t xml:space="preserve">Regulatory Fluency:</w:t>
      </w:r>
      <w:r>
        <w:t xml:space="preserve"> </w:t>
      </w:r>
      <w:r>
        <w:t xml:space="preserve">Mastery of Germany’s stringent medical data laws (BDSG, GDPR) allows them to architect compliant sales proposals—critical for securing contracts with Munich-based hospitals like University Hospital Munich (LMU Klinikum).</w:t>
      </w:r>
    </w:p>
    <w:p>
      <w:pPr>
        <w:numPr>
          <w:ilvl w:val="0"/>
          <w:numId w:val="1002"/>
        </w:numPr>
        <w:pStyle w:val="Compact"/>
      </w:pPr>
      <w:r>
        <w:rPr>
          <w:bCs/>
          <w:b/>
        </w:rPr>
        <w:t xml:space="preserve">Local Ecosystem Integration:</w:t>
      </w:r>
      <w:r>
        <w:t xml:space="preserve"> </w:t>
      </w:r>
      <w:r>
        <w:t xml:space="preserve">Medical Researchers leverage relationships with Bavarian Innovation Agency and Fraunhofer Institutes to co-develop solutions, positioning our offerings as "Munich-native" innovations rather than generic products.</w:t>
      </w:r>
    </w:p>
    <w:p>
      <w:pPr>
        <w:pStyle w:val="FirstParagraph"/>
      </w:pPr>
      <w:r>
        <w:t xml:space="preserve">For example, a Medical Researcher at Bayer HealthCare Munich recently secured a €2.3M contract by demonstrating how our AI-driven trial analytics platform reduced protocol deviations by 41% in Phase III studies—a metric validated through data shared from their own research collaboration with TUM (Technical University of Munich).</w:t>
      </w:r>
    </w:p>
    <w:bookmarkEnd w:id="23"/>
    <w:bookmarkStart w:id="24" w:name="Xa32fa8215d0f1ff2d74b2ba398800924d9c8175"/>
    <w:p>
      <w:pPr>
        <w:pStyle w:val="Heading2"/>
      </w:pPr>
      <w:r>
        <w:t xml:space="preserve">Germany Munich: Competitive Landscape &amp; Strategic Differentiation</w:t>
      </w:r>
    </w:p>
    <w:p>
      <w:pPr>
        <w:pStyle w:val="FirstParagraph"/>
      </w:pPr>
      <w:r>
        <w:t xml:space="preserve">The Munich medical research market is intensely competitive, with rivals like IQVIA and Parexel relying on generic sales teams. Our Medical Researcher model creates an unassailable advantage:</w:t>
      </w:r>
    </w:p>
    <w:p>
      <w:pPr>
        <w:numPr>
          <w:ilvl w:val="0"/>
          <w:numId w:val="1003"/>
        </w:numPr>
        <w:pStyle w:val="Compact"/>
      </w:pPr>
      <w:r>
        <w:rPr>
          <w:bCs/>
          <w:b/>
        </w:rPr>
        <w:t xml:space="preserve">Trust Building:</w:t>
      </w:r>
      <w:r>
        <w:t xml:space="preserve"> </w:t>
      </w:r>
      <w:r>
        <w:t xml:space="preserve">78% of Munich clients reported that Medical Researchers’ scientific credibility was the deciding factor in selecting our services—compared to only 32% for competitors' sales teams.</w:t>
      </w:r>
    </w:p>
    <w:p>
      <w:pPr>
        <w:numPr>
          <w:ilvl w:val="0"/>
          <w:numId w:val="1003"/>
        </w:numPr>
        <w:pStyle w:val="Compact"/>
      </w:pPr>
      <w:r>
        <w:rPr>
          <w:bCs/>
          <w:b/>
        </w:rPr>
        <w:t xml:space="preserve">Compliance Assurance:</w:t>
      </w:r>
      <w:r>
        <w:t xml:space="preserve"> </w:t>
      </w:r>
      <w:r>
        <w:t xml:space="preserve">In a region where data privacy violations incur fines up to €20M (per GDPR), Medical Researchers eliminate sales-related legal risks through proactive compliance design.</w:t>
      </w:r>
    </w:p>
    <w:p>
      <w:pPr>
        <w:numPr>
          <w:ilvl w:val="0"/>
          <w:numId w:val="1003"/>
        </w:numPr>
        <w:pStyle w:val="Compact"/>
      </w:pPr>
      <w:r>
        <w:rPr>
          <w:bCs/>
          <w:b/>
        </w:rPr>
        <w:t xml:space="preserve">Tailored Solutions:</w:t>
      </w:r>
      <w:r>
        <w:t xml:space="preserve"> </w:t>
      </w:r>
      <w:r>
        <w:t xml:space="preserve">Unlike standardized offerings, our Munich team co-creates solutions using insights from local trials. A recent project with Charité Berlin’s Munich affiliate reduced patient recruitment time by 52% through a protocol refined by our Medical Researchers.</w:t>
      </w:r>
    </w:p>
    <w:bookmarkEnd w:id="24"/>
    <w:bookmarkStart w:id="25" w:name="challenges-mitigation-strategies"/>
    <w:p>
      <w:pPr>
        <w:pStyle w:val="Heading2"/>
      </w:pPr>
      <w:r>
        <w:t xml:space="preserve">Challenges &amp; Mitigation Strategies</w:t>
      </w:r>
    </w:p>
    <w:p>
      <w:pPr>
        <w:pStyle w:val="FirstParagraph"/>
      </w:pPr>
      <w:r>
        <w:t xml:space="preserve">Q3 revealed two key challenges requiring adaptive sales strategies in Germany Munich:</w:t>
      </w:r>
    </w:p>
    <w:p>
      <w:pPr>
        <w:numPr>
          <w:ilvl w:val="0"/>
          <w:numId w:val="1004"/>
        </w:numPr>
        <w:pStyle w:val="Compact"/>
      </w:pPr>
      <w:r>
        <w:rPr>
          <w:bCs/>
          <w:b/>
        </w:rPr>
        <w:t xml:space="preserve">Regulatory Complexity:</w:t>
      </w:r>
      <w:r>
        <w:t xml:space="preserve"> </w:t>
      </w:r>
      <w:r>
        <w:t xml:space="preserve">The German Federal Institute for Drugs and Medical Devices (BfArM) introduced new AI validation requirements. Our Medical Researchers immediately developed a compliance playbook, which became a sales differentiator during client demos.</w:t>
      </w:r>
    </w:p>
    <w:p>
      <w:pPr>
        <w:numPr>
          <w:ilvl w:val="0"/>
          <w:numId w:val="1004"/>
        </w:numPr>
        <w:pStyle w:val="Compact"/>
      </w:pPr>
      <w:r>
        <w:rPr>
          <w:bCs/>
          <w:b/>
        </w:rPr>
        <w:t xml:space="preserve">Talent Acquisition:</w:t>
      </w:r>
      <w:r>
        <w:t xml:space="preserve"> </w:t>
      </w:r>
      <w:r>
        <w:t xml:space="preserve">Munich’s tight talent pool for dual-qualified professionals led to 15% longer hiring cycles. We partnered with LMU and TUM to launch an "Applied Medical Researcher" certification program, securing 12 new hires by quarter-end.</w:t>
      </w:r>
    </w:p>
    <w:bookmarkEnd w:id="25"/>
    <w:bookmarkStart w:id="26" w:name="X895486f750db0892d7763ec2dd13485d94cf7b1"/>
    <w:p>
      <w:pPr>
        <w:pStyle w:val="Heading2"/>
      </w:pPr>
      <w:r>
        <w:t xml:space="preserve">Q4 Strategic Roadmap: Scaling Medical Researcher Capabilities in Munich</w:t>
      </w:r>
    </w:p>
    <w:p>
      <w:pPr>
        <w:pStyle w:val="FirstParagraph"/>
      </w:pPr>
      <w:r>
        <w:t xml:space="preserve">Building on Q3’s success, our Q4 focus includes:</w:t>
      </w:r>
    </w:p>
    <w:p>
      <w:pPr>
        <w:numPr>
          <w:ilvl w:val="0"/>
          <w:numId w:val="1005"/>
        </w:numPr>
        <w:pStyle w:val="Compact"/>
      </w:pPr>
      <w:r>
        <w:rPr>
          <w:bCs/>
          <w:b/>
        </w:rPr>
        <w:t xml:space="preserve">Medical Researcher Network Expansion:</w:t>
      </w:r>
      <w:r>
        <w:t xml:space="preserve"> </w:t>
      </w:r>
      <w:r>
        <w:t xml:space="preserve">Establishing a dedicated Munich Innovation Hub to centralize researcher collaboration, targeting 25% faster cross-team knowledge sharing.</w:t>
      </w:r>
    </w:p>
    <w:p>
      <w:pPr>
        <w:numPr>
          <w:ilvl w:val="0"/>
          <w:numId w:val="1005"/>
        </w:numPr>
        <w:pStyle w:val="Compact"/>
      </w:pPr>
      <w:r>
        <w:rPr>
          <w:bCs/>
          <w:b/>
        </w:rPr>
        <w:t xml:space="preserve">Data-Driven Sales Enablement:</w:t>
      </w:r>
      <w:r>
        <w:t xml:space="preserve"> </w:t>
      </w:r>
      <w:r>
        <w:t xml:space="preserve">Integrating Munich-specific clinical trial databases (e.g., German Clinical Trials Register) into CRM to empower Medical Researchers with real-time local insights during sales conversations.</w:t>
      </w:r>
    </w:p>
    <w:p>
      <w:pPr>
        <w:numPr>
          <w:ilvl w:val="0"/>
          <w:numId w:val="1005"/>
        </w:numPr>
        <w:pStyle w:val="Compact"/>
      </w:pPr>
      <w:r>
        <w:rPr>
          <w:bCs/>
          <w:b/>
        </w:rPr>
        <w:t xml:space="preserve">Industry Event Dominance:</w:t>
      </w:r>
      <w:r>
        <w:t xml:space="preserve"> </w:t>
      </w:r>
      <w:r>
        <w:t xml:space="preserve">Securing speaking slots at Munich’s MedTech Days and European Society for Medical Oncology (ESMO) Congress, with 90% of presentations led by our Medical Researchers.</w:t>
      </w:r>
    </w:p>
    <w:bookmarkEnd w:id="26"/>
    <w:bookmarkStart w:id="27" w:name="Xafe545ed793141d675c34971a37985467352a24"/>
    <w:p>
      <w:pPr>
        <w:pStyle w:val="Heading2"/>
      </w:pPr>
      <w:r>
        <w:t xml:space="preserve">Conclusion: Why Germany Munich Demands This Model</w:t>
      </w:r>
    </w:p>
    <w:p>
      <w:pPr>
        <w:pStyle w:val="FirstParagraph"/>
      </w:pPr>
      <w:r>
        <w:t xml:space="preserve">This sales report unequivocally demonstrates that deploying a specialized Medical Researcher team is not an operational cost but the core engine of revenue growth in Germany Munich. The city’s unique confluence of research excellence, regulatory complexity, and commercial sophistication demands expertise that transcends traditional sales roles. As we move into Q4, our Medical Researchers will continue to be the primary sales force—translating scientific rigor into commercial value while navigating Germany’s nuanced healthcare landscape. In Munich, where every client decision hinges on evidence-based credibility, the Medical Researcher isn’t just part of our sales strategy: they are the strategy itself. The data from this quarter proves that in Germany’s most competitive market, only a Medical Researcher can drive sustainable sales success.</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26, 2024</w:t>
      </w:r>
      <w:r>
        <w:br/>
      </w:r>
      <w:r>
        <w:rPr>
          <w:bCs/>
          <w:b/>
        </w:rPr>
        <w:t xml:space="preserve">Confidentiality:</w:t>
      </w:r>
      <w:r>
        <w:t xml:space="preserve"> </w:t>
      </w:r>
      <w:r>
        <w:t xml:space="preserve">This report contains proprietary data for internal use only. Distribution requires authorization from the Munich Regional Sales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Medical Researcher Engagement Strategy in Germany Munich</dc:title>
  <dc:creator/>
  <cp:keywords/>
  <dcterms:created xsi:type="dcterms:W3CDTF">2026-07-23T16:48:27Z</dcterms:created>
  <dcterms:modified xsi:type="dcterms:W3CDTF">2026-07-23T16:48:27Z</dcterms:modified>
</cp:coreProperties>
</file>

<file path=docProps/custom.xml><?xml version="1.0" encoding="utf-8"?>
<Properties xmlns="http://schemas.openxmlformats.org/officeDocument/2006/custom-properties" xmlns:vt="http://schemas.openxmlformats.org/officeDocument/2006/docPropsVTypes"/>
</file>