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Medical</w:t>
      </w:r>
      <w:r>
        <w:t xml:space="preserve"> </w:t>
      </w:r>
      <w:r>
        <w:t xml:space="preserve">Research</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1" w:name="Xa7ee0f05f3c3f05404ce9adce6b90388a092075"/>
    <w:p>
      <w:pPr>
        <w:pStyle w:val="Heading1"/>
      </w:pPr>
      <w:r>
        <w:t xml:space="preserve">Annual Sales Performance Report: Medical Research Services in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&amp; Strategy Department, Medical Research Division</w:t>
      </w:r>
    </w:p>
    <w:bookmarkStart w:id="20" w:name="i.-executive-summary"/>
    <w:p>
      <w:pPr>
        <w:pStyle w:val="Heading2"/>
      </w:pPr>
      <w:r>
        <w:t xml:space="preserve">I. Executive Summary</w:t>
      </w:r>
    </w:p>
    <w:p>
      <w:pPr>
        <w:pStyle w:val="FirstParagraph"/>
      </w:pPr>
      <w:r>
        <w:t xml:space="preserve">This comprehensive Sales Report details the performance of medical research services across India New Delhi for Q3-Q4 2023. The report confirms a 37% year-over-year increase in revenue for medical research solutions, driven by strategic partnerships and heightened demand for clinical trial management services in India New Delhi. The Medical Researcher team has emerged as the cornerstone of our growth narrative, delivering exceptional results in one of Asia's most dynamic healthcare markets. This Sales Report validates our investment strategy targeting India New Delhi as a critical growth engine for global medical research operations.</w:t>
      </w:r>
    </w:p>
    <w:bookmarkEnd w:id="20"/>
    <w:bookmarkStart w:id="21" w:name="X05c618207ab09b95b99b32565d165958b9dd994"/>
    <w:p>
      <w:pPr>
        <w:pStyle w:val="Heading2"/>
      </w:pPr>
      <w:r>
        <w:t xml:space="preserve">II. Market Context: India New Delhi's Medical Research Landscape</w:t>
      </w:r>
    </w:p>
    <w:p>
      <w:pPr>
        <w:pStyle w:val="FirstParagraph"/>
      </w:pPr>
      <w:r>
        <w:t xml:space="preserve">India New Delhi stands at the epicenter of Asia's burgeoning medical research ecosystem, with the government allocating $4.2 billion toward biomedical innovation in 2023 alone. The National Biotechnology Development Strategy has created unprecedented opportunities for clinical research service providers. As a Medical Researcher operating within this environment, our team leverages New Delhi's concentration of premier institutions (AIIMS, ICMR, and 15+ multinational pharma HQs) to deliver superior research outcomes. This Sales Report underscores how India New Delhi's regulatory advancements—particularly the 2023 Clinical Trials Rules Amendment—have accelerated our sales cycles by 40% compared to previous fiscal years.</w:t>
      </w:r>
    </w:p>
    <w:bookmarkEnd w:id="21"/>
    <w:bookmarkStart w:id="24" w:name="iii.-sales-performance-breakdown"/>
    <w:p>
      <w:pPr>
        <w:pStyle w:val="Heading2"/>
      </w:pPr>
      <w:r>
        <w:t xml:space="preserve">III. Sales Performance Breakdown</w:t>
      </w:r>
    </w:p>
    <w:bookmarkStart w:id="22" w:name="X5ef1763014fb94978c6a5d1583111c2c2e45e2a"/>
    <w:p>
      <w:pPr>
        <w:pStyle w:val="Heading3"/>
      </w:pPr>
      <w:r>
        <w:t xml:space="preserve">A. Revenue Growth Metrics (India New Delhi Focus)</w:t>
      </w:r>
    </w:p>
    <w:p>
      <w:pPr>
        <w:pStyle w:val="FirstParagraph"/>
      </w:pPr>
      <w:r>
        <w:t xml:space="preserve">Service Category</w:t>
      </w:r>
    </w:p>
    <w:p>
      <w:pPr>
        <w:pStyle w:val="BodyText"/>
      </w:pPr>
      <w:r>
        <w:t xml:space="preserve">Q3 2023 Revenue (₹Cr)</w:t>
      </w:r>
    </w:p>
    <w:p>
      <w:pPr>
        <w:pStyle w:val="BodyText"/>
      </w:pPr>
      <w:r>
        <w:t xml:space="preserve">Q4 2023 Projection (₹Cr)</w:t>
      </w:r>
    </w:p>
    <w:p>
      <w:pPr>
        <w:pStyle w:val="BodyText"/>
      </w:pPr>
      <w:r>
        <w:t xml:space="preserve">YoY Growth</w:t>
      </w:r>
    </w:p>
    <w:p>
      <w:pPr>
        <w:pStyle w:val="BodyText"/>
      </w:pPr>
      <w:r>
        <w:t xml:space="preserve">Clinical Trial Management</w:t>
      </w:r>
    </w:p>
    <w:p>
      <w:pPr>
        <w:pStyle w:val="BodyText"/>
      </w:pPr>
      <w:r>
        <w:t xml:space="preserve">18.7</w:t>
      </w:r>
    </w:p>
    <w:p>
      <w:pPr>
        <w:pStyle w:val="BodyText"/>
      </w:pPr>
      <w:r>
        <w:t xml:space="preserve">22.5</w:t>
      </w:r>
    </w:p>
    <w:p>
      <w:pPr>
        <w:pStyle w:val="BodyText"/>
      </w:pPr>
      <w:r>
        <w:t xml:space="preserve">48%</w:t>
      </w:r>
    </w:p>
    <w:p>
      <w:pPr>
        <w:pStyle w:val="BodyText"/>
      </w:pPr>
      <w:r>
        <w:t xml:space="preserve">Data Analytics Solutions</w:t>
      </w:r>
    </w:p>
    <w:p>
      <w:pPr>
        <w:pStyle w:val="BodyText"/>
      </w:pPr>
      <w:r>
        <w:t xml:space="preserve">9.3</w:t>
      </w:r>
    </w:p>
    <w:p>
      <w:pPr>
        <w:pStyle w:val="BodyText"/>
      </w:pPr>
      <w:r>
        <w:t xml:space="preserve">11.2</w:t>
      </w:r>
    </w:p>
    <w:p>
      <w:pPr>
        <w:pStyle w:val="BodyText"/>
      </w:pPr>
      <w:r>
        <w:t xml:space="preserve">The Medical Researcher team achieved a record 37% YoY revenue growth in India New Delhi, with clinical trial services accounting for 68% of total sales. This momentum directly correlates with our strategic hiring of 12 additional Medical Researcher professionals in New Delhi during H1 2023, specifically trained in Indian regulatory pathways.</w:t>
      </w:r>
    </w:p>
    <w:bookmarkEnd w:id="22"/>
    <w:bookmarkStart w:id="23" w:name="b.-key-client-acquisition"/>
    <w:p>
      <w:pPr>
        <w:pStyle w:val="Heading3"/>
      </w:pPr>
      <w:r>
        <w:t xml:space="preserve">B. Key Client Acquisition</w:t>
      </w:r>
    </w:p>
    <w:p>
      <w:pPr>
        <w:pStyle w:val="FirstParagraph"/>
      </w:pPr>
      <w:r>
        <w:t xml:space="preserve">India New Delhi generated 9 new enterprise contracts this quarter, including:</w:t>
      </w:r>
    </w:p>
    <w:p>
      <w:pPr>
        <w:numPr>
          <w:ilvl w:val="0"/>
          <w:numId w:val="1001"/>
        </w:numPr>
        <w:pStyle w:val="Compact"/>
      </w:pPr>
      <w:r>
        <w:rPr>
          <w:bCs/>
          <w:b/>
        </w:rPr>
        <w:t xml:space="preserve">Abbott India (New Delhi HQ):</w:t>
      </w:r>
      <w:r>
        <w:t xml:space="preserve"> </w:t>
      </w:r>
      <w:r>
        <w:t xml:space="preserve">₹8.2 Cr contract for Phase IV oncology trials across 12 hospitals in North India.</w:t>
      </w:r>
    </w:p>
    <w:p>
      <w:pPr>
        <w:numPr>
          <w:ilvl w:val="0"/>
          <w:numId w:val="1001"/>
        </w:numPr>
        <w:pStyle w:val="Compact"/>
      </w:pPr>
      <w:r>
        <w:rPr>
          <w:bCs/>
          <w:b/>
        </w:rPr>
        <w:t xml:space="preserve">Dr. Reddy's Laboratories:</w:t>
      </w:r>
      <w:r>
        <w:t xml:space="preserve"> </w:t>
      </w:r>
      <w:r>
        <w:t xml:space="preserve">₹6.5 Cr agreement covering real-world evidence studies for cardiovascular drugs.</w:t>
      </w:r>
    </w:p>
    <w:p>
      <w:pPr>
        <w:numPr>
          <w:ilvl w:val="0"/>
          <w:numId w:val="1001"/>
        </w:numPr>
        <w:pStyle w:val="Compact"/>
      </w:pPr>
      <w:r>
        <w:rPr>
          <w:bCs/>
          <w:b/>
        </w:rPr>
        <w:t xml:space="preserve">National Cancer Institute (New Delhi):</w:t>
      </w:r>
      <w:r>
        <w:t xml:space="preserve"> </w:t>
      </w:r>
      <w:r>
        <w:t xml:space="preserve">₹4.7 Cr public-private partnership for AI-driven cancer research platform.</w:t>
      </w:r>
    </w:p>
    <w:p>
      <w:pPr>
        <w:pStyle w:val="FirstParagraph"/>
      </w:pPr>
      <w:r>
        <w:t xml:space="preserve">These wins were secured by our Medical Researcher specialists who demonstrated deep understanding of India New Delhi's healthcare infrastructure and ethical review processes—a critical differentiator in a market where 63% of competitors fail to navigate local compliance requirements.</w:t>
      </w:r>
    </w:p>
    <w:bookmarkEnd w:id="23"/>
    <w:bookmarkEnd w:id="24"/>
    <w:bookmarkStart w:id="25" w:name="X0958e741149560ca2f89f6378d4fa39c8381a14"/>
    <w:p>
      <w:pPr>
        <w:pStyle w:val="Heading2"/>
      </w:pPr>
      <w:r>
        <w:t xml:space="preserve">IV. The Medical Researcher: Central to Our Success in India New Delhi</w:t>
      </w:r>
    </w:p>
    <w:p>
      <w:pPr>
        <w:pStyle w:val="FirstParagraph"/>
      </w:pPr>
      <w:r>
        <w:t xml:space="preserve">Our Sales Report identifies the Medical Researcher as the single most influential factor in our India New Delhi expansion. Unlike generic service providers, our Medical Researcher professionals possess:</w:t>
      </w:r>
    </w:p>
    <w:p>
      <w:pPr>
        <w:numPr>
          <w:ilvl w:val="0"/>
          <w:numId w:val="1002"/>
        </w:numPr>
        <w:pStyle w:val="Compact"/>
      </w:pPr>
      <w:r>
        <w:rPr>
          <w:bCs/>
          <w:b/>
        </w:rPr>
        <w:t xml:space="preserve">Local Regulatory Expertise:</w:t>
      </w:r>
      <w:r>
        <w:t xml:space="preserve"> </w:t>
      </w:r>
      <w:r>
        <w:t xml:space="preserve">Certified in ICMR guidelines and NDA filings specific to India New Delhi's 18+ ethics committees.</w:t>
      </w:r>
    </w:p>
    <w:p>
      <w:pPr>
        <w:numPr>
          <w:ilvl w:val="0"/>
          <w:numId w:val="1002"/>
        </w:numPr>
        <w:pStyle w:val="Compact"/>
      </w:pPr>
      <w:r>
        <w:rPr>
          <w:bCs/>
          <w:b/>
        </w:rPr>
        <w:t xml:space="preserve">Cultural Fluency:</w:t>
      </w:r>
      <w:r>
        <w:t xml:space="preserve"> </w:t>
      </w:r>
      <w:r>
        <w:t xml:space="preserve">Ability to navigate hospital hierarchies and community engagement requirements unique to Indian healthcare settings.</w:t>
      </w:r>
    </w:p>
    <w:p>
      <w:pPr>
        <w:numPr>
          <w:ilvl w:val="0"/>
          <w:numId w:val="1002"/>
        </w:numPr>
        <w:pStyle w:val="Compact"/>
      </w:pPr>
      <w:r>
        <w:rPr>
          <w:bCs/>
          <w:b/>
        </w:rPr>
        <w:t xml:space="preserve">Tech Integration Skills:</w:t>
      </w:r>
      <w:r>
        <w:t xml:space="preserve"> </w:t>
      </w:r>
      <w:r>
        <w:t xml:space="preserve">Proficiency in deploying our research analytics suite within India New Delhi's diverse digital health ecosystem (including Ayushman Bharat data interfaces).</w:t>
      </w:r>
    </w:p>
    <w:p>
      <w:pPr>
        <w:pStyle w:val="FirstParagraph"/>
      </w:pPr>
      <w:r>
        <w:t xml:space="preserve">The Medical Researcher team's average client retention rate in India New Delhi stands at 89%—significantly higher than the industry benchmark of 72%. This directly contributes to our $1.2M recurring revenue from existing India New Delhi clients this year.</w:t>
      </w:r>
    </w:p>
    <w:bookmarkEnd w:id="25"/>
    <w:bookmarkStart w:id="28" w:name="v.-challenges-strategic-adaptations"/>
    <w:p>
      <w:pPr>
        <w:pStyle w:val="Heading2"/>
      </w:pPr>
      <w:r>
        <w:t xml:space="preserve">V. Challenges &amp; Strategic Adaptations</w:t>
      </w:r>
    </w:p>
    <w:p>
      <w:pPr>
        <w:pStyle w:val="FirstParagraph"/>
      </w:pPr>
      <w:r>
        <w:t xml:space="preserve">While India New Delhi presents immense opportunity, our Sales Report notes two critical challenges:</w:t>
      </w:r>
    </w:p>
    <w:bookmarkStart w:id="26" w:name="X49d4a2afbbc7c4a791a7158136ce56412d40ac8"/>
    <w:p>
      <w:pPr>
        <w:pStyle w:val="Heading3"/>
      </w:pPr>
      <w:r>
        <w:t xml:space="preserve">Challenge 1: Talent Competition in Medical Research</w:t>
      </w:r>
    </w:p>
    <w:p>
      <w:pPr>
        <w:pStyle w:val="FirstParagraph"/>
      </w:pPr>
      <w:r>
        <w:t xml:space="preserve">The surge in clinical research activity has intensified competition for skilled Medical Researcher talent in India New Delhi. We addressed this through:</w:t>
      </w:r>
    </w:p>
    <w:p>
      <w:pPr>
        <w:numPr>
          <w:ilvl w:val="0"/>
          <w:numId w:val="1003"/>
        </w:numPr>
        <w:pStyle w:val="Compact"/>
      </w:pPr>
      <w:r>
        <w:t xml:space="preserve">Establishing a dedicated "Medical Researcher Development Academy" at our New Delhi campus (enrolling 28 new recruits quarterly)</w:t>
      </w:r>
    </w:p>
    <w:p>
      <w:pPr>
        <w:numPr>
          <w:ilvl w:val="0"/>
          <w:numId w:val="1003"/>
        </w:numPr>
        <w:pStyle w:val="Compact"/>
      </w:pPr>
      <w:r>
        <w:t xml:space="preserve">Partnering with AIIMS New Delhi for co-created certification programs</w:t>
      </w:r>
    </w:p>
    <w:bookmarkEnd w:id="26"/>
    <w:bookmarkStart w:id="27" w:name="challenge-2-regulatory-fragmentation"/>
    <w:p>
      <w:pPr>
        <w:pStyle w:val="Heading3"/>
      </w:pPr>
      <w:r>
        <w:t xml:space="preserve">Challenge 2: Regulatory Fragmentation</w:t>
      </w:r>
    </w:p>
    <w:p>
      <w:pPr>
        <w:pStyle w:val="FirstParagraph"/>
      </w:pPr>
      <w:r>
        <w:t xml:space="preserve">Differing state-level approvals for clinical trials created sales bottlenecks. Our solution:</w:t>
      </w:r>
    </w:p>
    <w:p>
      <w:pPr>
        <w:numPr>
          <w:ilvl w:val="0"/>
          <w:numId w:val="1004"/>
        </w:numPr>
        <w:pStyle w:val="Compact"/>
      </w:pPr>
      <w:r>
        <w:t xml:space="preserve">Deploying India New Delhi-specific regulatory mapping tools (used in 100% of new proposals)</w:t>
      </w:r>
    </w:p>
    <w:p>
      <w:pPr>
        <w:numPr>
          <w:ilvl w:val="0"/>
          <w:numId w:val="1004"/>
        </w:numPr>
        <w:pStyle w:val="Compact"/>
      </w:pPr>
      <w:r>
        <w:t xml:space="preserve">Appointing 3 Senior Medical Researcher specialists for regional compliance (Delhi, Haryana, Punjab)</w:t>
      </w:r>
    </w:p>
    <w:bookmarkEnd w:id="27"/>
    <w:bookmarkEnd w:id="28"/>
    <w:bookmarkStart w:id="29" w:name="Xef9710f28c963b21641fa9d09d927f10e4cb95f"/>
    <w:p>
      <w:pPr>
        <w:pStyle w:val="Heading2"/>
      </w:pPr>
      <w:r>
        <w:t xml:space="preserve">VI. Future Strategy &amp; India New Delhi Expansion</w:t>
      </w:r>
    </w:p>
    <w:p>
      <w:pPr>
        <w:pStyle w:val="FirstParagraph"/>
      </w:pPr>
      <w:r>
        <w:t xml:space="preserve">This Sales Report recommends doubling down on India New Delhi as a Tier-1 market through:</w:t>
      </w:r>
    </w:p>
    <w:p>
      <w:pPr>
        <w:numPr>
          <w:ilvl w:val="0"/>
          <w:numId w:val="1005"/>
        </w:numPr>
        <w:pStyle w:val="Compact"/>
      </w:pPr>
      <w:r>
        <w:rPr>
          <w:bCs/>
          <w:b/>
        </w:rPr>
        <w:t xml:space="preserve">Medical Researcher Talent Hub:</w:t>
      </w:r>
      <w:r>
        <w:t xml:space="preserve"> </w:t>
      </w:r>
      <w:r>
        <w:t xml:space="preserve">Establishing a 50-person center of excellence in Gurgaon (India New Delhi Metro Area) by Q2 2024.</w:t>
      </w:r>
    </w:p>
    <w:p>
      <w:pPr>
        <w:numPr>
          <w:ilvl w:val="0"/>
          <w:numId w:val="1005"/>
        </w:numPr>
        <w:pStyle w:val="Compact"/>
      </w:pPr>
      <w:r>
        <w:rPr>
          <w:bCs/>
          <w:b/>
        </w:rPr>
        <w:t xml:space="preserve">AI Integration:</w:t>
      </w:r>
      <w:r>
        <w:t xml:space="preserve"> </w:t>
      </w:r>
      <w:r>
        <w:t xml:space="preserve">Launching India-specific predictive analytics for clinical trial recruitment, targeting a 30% reduction in patient enrollment timelines.</w:t>
      </w:r>
    </w:p>
    <w:p>
      <w:pPr>
        <w:numPr>
          <w:ilvl w:val="0"/>
          <w:numId w:val="1005"/>
        </w:numPr>
        <w:pStyle w:val="Compact"/>
      </w:pPr>
      <w:r>
        <w:rPr>
          <w:bCs/>
          <w:b/>
        </w:rPr>
        <w:t xml:space="preserve">Public-Private Collaboration:</w:t>
      </w:r>
      <w:r>
        <w:t xml:space="preserve"> </w:t>
      </w:r>
      <w:r>
        <w:t xml:space="preserve">Pursuing MoUs with India New Delhi's Ministry of Health to standardize research protocols across 100+ hospitals.</w:t>
      </w:r>
    </w:p>
    <w:bookmarkEnd w:id="29"/>
    <w:bookmarkStart w:id="30" w:name="X4c863a393ef06ffc7cb920d074d75fd8a48aea0"/>
    <w:p>
      <w:pPr>
        <w:pStyle w:val="Heading2"/>
      </w:pPr>
      <w:r>
        <w:t xml:space="preserve">VII. Conclusion: The Medical Researcher as Sales Catalyst</w:t>
      </w:r>
    </w:p>
    <w:p>
      <w:pPr>
        <w:pStyle w:val="FirstParagraph"/>
      </w:pPr>
      <w:r>
        <w:t xml:space="preserve">The success of our sales in India New Delhi is fundamentally tied to the excellence of our Medical Researcher professionals. This Sales Report demonstrates that when a Medical Researcher possesses deep market intelligence about India New Delhi—understanding both regulatory nuances and cultural dynamics—the sales cycle shortens, client trust elevates, and revenue compounds. As we enter 2024, India New Delhi will remain the focal point of our global medical research sales strategy. The data is unequivocal: Every rupee invested in developing Medical Researcher capabilities delivers a 7.3x ROI in India New Delhi markets.</w:t>
      </w:r>
    </w:p>
    <w:p>
      <w:pPr>
        <w:pStyle w:val="BodyText"/>
      </w:pPr>
      <w:r>
        <w:t xml:space="preserve">With the Indian government's "Make in India for Healthcare" initiative gaining momentum, our Sales Report projects $45M+ revenue from medical research services across India New Delhi by FY2025. The path forward is clear: empower the Medical Researcher, dominate in India New Delhi, and redefine global clinical research delivery.</w:t>
      </w:r>
    </w:p>
    <w:p>
      <w:pPr>
        <w:pStyle w:val="BodyText"/>
      </w:pPr>
      <w:r>
        <w:rPr>
          <w:bCs/>
          <w:b/>
        </w:rPr>
        <w:t xml:space="preserve">Appendix:</w:t>
      </w:r>
      <w:r>
        <w:t xml:space="preserve"> </w:t>
      </w:r>
      <w:r>
        <w:t xml:space="preserve">All data sourced from internal CRM (Salesforce), ICMR reports (Q3 2023), and client satisfaction surveys conducted across 17 India New Delhi healthcare facilities. Sales performance metrics validated by Deloitte India for FY2023.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Medical Research Services in India New Delhi</dc:title>
  <dc:creator/>
  <dc:language>en</dc:language>
  <cp:keywords/>
  <dcterms:created xsi:type="dcterms:W3CDTF">2026-07-24T16:02:52Z</dcterms:created>
  <dcterms:modified xsi:type="dcterms:W3CDTF">2026-07-24T16:02:52Z</dcterms:modified>
</cp:coreProperties>
</file>

<file path=docProps/custom.xml><?xml version="1.0" encoding="utf-8"?>
<Properties xmlns="http://schemas.openxmlformats.org/officeDocument/2006/custom-properties" xmlns:vt="http://schemas.openxmlformats.org/officeDocument/2006/docPropsVTypes"/>
</file>