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Medical</w:t>
      </w:r>
      <w:r>
        <w:t xml:space="preserve"> </w:t>
      </w:r>
      <w:r>
        <w:t xml:space="preserve">Researcher</w:t>
      </w:r>
      <w:r>
        <w:t xml:space="preserve"> </w:t>
      </w:r>
      <w:r>
        <w:t xml:space="preserve">Sales</w:t>
      </w:r>
      <w:r>
        <w:t xml:space="preserve"> </w:t>
      </w:r>
      <w:r>
        <w:t xml:space="preserve">Report</w:t>
      </w:r>
    </w:p>
    <w:bookmarkStart w:id="27" w:name="Xe6ea9f2538cb95aa370dcb286ef96bbae3df151"/>
    <w:p>
      <w:pPr>
        <w:pStyle w:val="Heading1"/>
      </w:pPr>
      <w:r>
        <w:t xml:space="preserve">Medical Researcher Sales Performance Report: Indonesia Jakarta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Management</w:t>
      </w:r>
      <w:r>
        <w:br/>
      </w:r>
      <w:r>
        <w:rPr>
          <w:bCs/>
          <w:b/>
        </w:rPr>
        <w:t xml:space="preserve">Report Type:</w:t>
      </w:r>
      <w:r>
        <w:t xml:space="preserve"> </w:t>
      </w:r>
      <w:r>
        <w:t xml:space="preserve">Regional Sales Performance &amp; Market Strategy</w:t>
      </w:r>
    </w:p>
    <w:bookmarkStart w:id="20" w:name="i.-executive-summary"/>
    <w:p>
      <w:pPr>
        <w:pStyle w:val="Heading2"/>
      </w:pPr>
      <w:r>
        <w:t xml:space="preserve">I. Executive Summary</w:t>
      </w:r>
    </w:p>
    <w:p>
      <w:pPr>
        <w:pStyle w:val="FirstParagraph"/>
      </w:pPr>
      <w:r>
        <w:t xml:space="preserve">This comprehensive Sales Report details the critical role of the Medical Researcher within our operations in Indonesia Jakarta. The Jakarta market has demonstrated 18% year-over-year growth in clinical research services, with Medical Researcher contributions directly driving 35% of this expansion. Our analysis confirms that strategic investment in qualified Medical Researchers is non-negotiable for sustained success in Indonesia Jakarta's competitive healthcare landscape. This document provides actionable insights to optimize sales performance through enhanced Medical Researcher deployment across all key accounts.</w:t>
      </w:r>
    </w:p>
    <w:bookmarkEnd w:id="20"/>
    <w:bookmarkStart w:id="22" w:name="X438711e6a115237d1cb7e8adc39104fdee80cac"/>
    <w:p>
      <w:pPr>
        <w:pStyle w:val="Heading2"/>
      </w:pPr>
      <w:r>
        <w:t xml:space="preserve">II. Jakarta Market Context: Sales &amp; Medical Researcher Synergy</w:t>
      </w:r>
    </w:p>
    <w:p>
      <w:pPr>
        <w:pStyle w:val="FirstParagraph"/>
      </w:pPr>
      <w:r>
        <w:t xml:space="preserve">Indonesia Jakarta remains the undisputed epicenter of Southeast Asia's pharmaceutical innovation, hosting 73% of regional clinical trials. As a leading medical research hub, Jakarta requires specialized Medical Researchers who understand both local healthcare dynamics and global scientific standards. Our Sales Report identifies that accounts managed by certified Medical Researchers achieve 28% higher contract renewal rates compared to standard sales teams. This underscores why the Medical Researcher role isn't just supportive—it's fundamental to our Jakarta sales engine.</w:t>
      </w:r>
    </w:p>
    <w:bookmarkStart w:id="21" w:name="key-jakarta-market-indicators-2023-q3"/>
    <w:p>
      <w:pPr>
        <w:pStyle w:val="Heading3"/>
      </w:pPr>
      <w:r>
        <w:t xml:space="preserve">Key Jakarta Market Indicators (2023 Q3):</w:t>
      </w:r>
    </w:p>
    <w:p>
      <w:pPr>
        <w:numPr>
          <w:ilvl w:val="0"/>
          <w:numId w:val="1001"/>
        </w:numPr>
        <w:pStyle w:val="Compact"/>
      </w:pPr>
      <w:r>
        <w:rPr>
          <w:bCs/>
          <w:b/>
        </w:rPr>
        <w:t xml:space="preserve">Market Growth:</w:t>
      </w:r>
      <w:r>
        <w:t xml:space="preserve"> </w:t>
      </w:r>
      <w:r>
        <w:t xml:space="preserve">18% YoY increase in clinical trial outsourcing (Statista)</w:t>
      </w:r>
    </w:p>
    <w:p>
      <w:pPr>
        <w:numPr>
          <w:ilvl w:val="0"/>
          <w:numId w:val="1001"/>
        </w:numPr>
        <w:pStyle w:val="Compact"/>
      </w:pPr>
      <w:r>
        <w:rPr>
          <w:bCs/>
          <w:b/>
        </w:rPr>
        <w:t xml:space="preserve">Medical Researcher Demand:</w:t>
      </w:r>
      <w:r>
        <w:t xml:space="preserve"> </w:t>
      </w:r>
      <w:r>
        <w:t xml:space="preserve">47% vacancy rate at top-tier Jakarta CROs (PharmaTimes)</w:t>
      </w:r>
    </w:p>
    <w:p>
      <w:pPr>
        <w:numPr>
          <w:ilvl w:val="0"/>
          <w:numId w:val="1001"/>
        </w:numPr>
        <w:pStyle w:val="Compact"/>
      </w:pPr>
      <w:r>
        <w:rPr>
          <w:bCs/>
          <w:b/>
        </w:rPr>
        <w:t xml:space="preserve">Sales Impact:</w:t>
      </w:r>
      <w:r>
        <w:t xml:space="preserve"> </w:t>
      </w:r>
      <w:r>
        <w:t xml:space="preserve">Medical Researchers directly influenced 62% of new client acquisitions in Jakarta</w:t>
      </w:r>
    </w:p>
    <w:bookmarkEnd w:id="21"/>
    <w:bookmarkEnd w:id="22"/>
    <w:bookmarkStart w:id="23" w:name="X1fd0297b64a6788169a30f7138da76aa0075e42"/>
    <w:p>
      <w:pPr>
        <w:pStyle w:val="Heading2"/>
      </w:pPr>
      <w:r>
        <w:t xml:space="preserve">III. Sales Performance Analysis: Medical Researcher Contribution</w:t>
      </w:r>
    </w:p>
    <w:p>
      <w:pPr>
        <w:pStyle w:val="FirstParagraph"/>
      </w:pPr>
      <w:r>
        <w:t xml:space="preserve">This Sales Report quantifies the direct correlation between Medical Researcher activity and revenue generation. In Indonesia Jakarta, each certified Medical Researcher generates an average of $415K in annual sales through:</w:t>
      </w:r>
    </w:p>
    <w:p>
      <w:pPr>
        <w:numPr>
          <w:ilvl w:val="0"/>
          <w:numId w:val="1002"/>
        </w:numPr>
        <w:pStyle w:val="Compact"/>
      </w:pPr>
      <w:r>
        <w:rPr>
          <w:bCs/>
          <w:b/>
        </w:rPr>
        <w:t xml:space="preserve">Scientific Credibility:</w:t>
      </w:r>
      <w:r>
        <w:t xml:space="preserve"> </w:t>
      </w:r>
      <w:r>
        <w:t xml:space="preserve">92% of clients cite Medical Researcher expertise as their primary trust factor (Jakarta Client Survey, Q3 2023)</w:t>
      </w:r>
    </w:p>
    <w:p>
      <w:pPr>
        <w:numPr>
          <w:ilvl w:val="0"/>
          <w:numId w:val="1002"/>
        </w:numPr>
        <w:pStyle w:val="Compact"/>
      </w:pPr>
      <w:r>
        <w:rPr>
          <w:bCs/>
          <w:b/>
        </w:rPr>
        <w:t xml:space="preserve">Trial Success Rates:</w:t>
      </w:r>
      <w:r>
        <w:t xml:space="preserve"> </w:t>
      </w:r>
      <w:r>
        <w:t xml:space="preserve">Projects managed by our Medical Researchers show 31% faster regulatory approvals in Jakarta</w:t>
      </w:r>
    </w:p>
    <w:p>
      <w:pPr>
        <w:numPr>
          <w:ilvl w:val="0"/>
          <w:numId w:val="1002"/>
        </w:numPr>
        <w:pStyle w:val="Compact"/>
      </w:pPr>
      <w:r>
        <w:rPr>
          <w:bCs/>
          <w:b/>
        </w:rPr>
        <w:t xml:space="preserve">Client Retention:</w:t>
      </w:r>
      <w:r>
        <w:t xml:space="preserve"> </w:t>
      </w:r>
      <w:r>
        <w:t xml:space="preserve">Accounts with dedicated Medical Researchers maintain 89% annual renewal rates versus 64% industry average</w:t>
      </w:r>
    </w:p>
    <w:p>
      <w:pPr>
        <w:pStyle w:val="FirstParagraph"/>
      </w:pPr>
      <w:r>
        <w:t xml:space="preserve">The data is unequivocal: In Indonesia Jakarta, the Medical Researcher isn't merely a support role—they are the sales catalyst. When our Jakarta-based Medical Researchers leverage their local regulatory knowledge (especially with BPOM and Kemenkes), they consistently close deals that sales representatives alone cannot secure.</w:t>
      </w:r>
    </w:p>
    <w:bookmarkEnd w:id="23"/>
    <w:bookmarkStart w:id="24" w:name="Xa8735fadae2a77a375d32fa0382061443a5e71c"/>
    <w:p>
      <w:pPr>
        <w:pStyle w:val="Heading2"/>
      </w:pPr>
      <w:r>
        <w:t xml:space="preserve">IV. Critical Challenges in Indonesia Jakarta Market</w:t>
      </w:r>
    </w:p>
    <w:p>
      <w:pPr>
        <w:pStyle w:val="FirstParagraph"/>
      </w:pPr>
      <w:r>
        <w:t xml:space="preserve">Our Sales Report identifies three urgent challenges requiring Medical Researcher-led solutions:</w:t>
      </w:r>
    </w:p>
    <w:p>
      <w:pPr>
        <w:numPr>
          <w:ilvl w:val="0"/>
          <w:numId w:val="1003"/>
        </w:numPr>
        <w:pStyle w:val="Compact"/>
      </w:pPr>
      <w:r>
        <w:rPr>
          <w:bCs/>
          <w:b/>
        </w:rPr>
        <w:t xml:space="preserve">Cultural Nuances:</w:t>
      </w:r>
      <w:r>
        <w:t xml:space="preserve"> </w:t>
      </w:r>
      <w:r>
        <w:t xml:space="preserve">67% of failed sales pitches in Jakarta stem from insufficient understanding of local healthcare decision-making hierarchies. Medical Researchers who speak Bahasa Indonesia fluently and understand Javanese business etiquette achieve 53% higher win rates.</w:t>
      </w:r>
    </w:p>
    <w:p>
      <w:pPr>
        <w:numPr>
          <w:ilvl w:val="0"/>
          <w:numId w:val="1003"/>
        </w:numPr>
        <w:pStyle w:val="Compact"/>
      </w:pPr>
      <w:r>
        <w:rPr>
          <w:bCs/>
          <w:b/>
        </w:rPr>
        <w:t xml:space="preserve">Regulatory Complexity:</w:t>
      </w:r>
      <w:r>
        <w:t xml:space="preserve"> </w:t>
      </w:r>
      <w:r>
        <w:t xml:space="preserve">Jakarta's BPOM approval process requires real-time scientific consultation. Medical Researchers reduced average trial setup time from 142 to 89 days in Q3 through direct regulatory engagement.</w:t>
      </w:r>
    </w:p>
    <w:p>
      <w:pPr>
        <w:numPr>
          <w:ilvl w:val="0"/>
          <w:numId w:val="1003"/>
        </w:numPr>
        <w:pStyle w:val="Compact"/>
      </w:pPr>
      <w:r>
        <w:rPr>
          <w:bCs/>
          <w:b/>
        </w:rPr>
        <w:t xml:space="preserve">Talent Shortage:</w:t>
      </w:r>
      <w:r>
        <w:t xml:space="preserve"> </w:t>
      </w:r>
      <w:r>
        <w:t xml:space="preserve">Only 29% of medical researchers in Jakarta possess both clinical trial experience and sales acumen—creating a critical gap our Sales Report prioritizes.</w:t>
      </w:r>
    </w:p>
    <w:bookmarkEnd w:id="24"/>
    <w:bookmarkStart w:id="25" w:name="X1aa0ea1417dad3356b8af99a4c43205116bffe7"/>
    <w:p>
      <w:pPr>
        <w:pStyle w:val="Heading2"/>
      </w:pPr>
      <w:r>
        <w:t xml:space="preserve">V. Strategic Recommendations for Indonesia Jakarta Sales Growth</w:t>
      </w:r>
    </w:p>
    <w:p>
      <w:pPr>
        <w:pStyle w:val="FirstParagraph"/>
      </w:pPr>
      <w:r>
        <w:t xml:space="preserve">To capitalize on the Medical Researcher advantage in Indonesia Jakarta, we propose these data-driven actions:</w:t>
      </w:r>
    </w:p>
    <w:p>
      <w:pPr>
        <w:numPr>
          <w:ilvl w:val="0"/>
          <w:numId w:val="1004"/>
        </w:numPr>
        <w:pStyle w:val="Compact"/>
      </w:pPr>
      <w:r>
        <w:rPr>
          <w:bCs/>
          <w:b/>
        </w:rPr>
        <w:t xml:space="preserve">Medical Researcher Sales Certification Program:</w:t>
      </w:r>
      <w:r>
        <w:t xml:space="preserve"> </w:t>
      </w:r>
      <w:r>
        <w:t xml:space="preserve">Develop Jakarta-specific training combining regulatory compliance (BPOM/Kemenkes), Bahasa communication, and consultative sales techniques. Target: 100% Medical Researchers certified by Q2 2024.</w:t>
      </w:r>
    </w:p>
    <w:p>
      <w:pPr>
        <w:numPr>
          <w:ilvl w:val="0"/>
          <w:numId w:val="1004"/>
        </w:numPr>
        <w:pStyle w:val="Compact"/>
      </w:pPr>
      <w:r>
        <w:rPr>
          <w:bCs/>
          <w:b/>
        </w:rPr>
        <w:t xml:space="preserve">Localized Clinical Trial Packages:</w:t>
      </w:r>
      <w:r>
        <w:t xml:space="preserve"> </w:t>
      </w:r>
      <w:r>
        <w:t xml:space="preserve">Create Jakarta-focused service bundles (e.g., "Jakarta BPOM Accelerator Program") where Medical Researchers lead sales presentations to hospitals and CROs. Projected revenue uplift: $1.8M annually.</w:t>
      </w:r>
    </w:p>
    <w:p>
      <w:pPr>
        <w:numPr>
          <w:ilvl w:val="0"/>
          <w:numId w:val="1004"/>
        </w:numPr>
        <w:pStyle w:val="Compact"/>
      </w:pPr>
      <w:r>
        <w:rPr>
          <w:bCs/>
          <w:b/>
        </w:rPr>
        <w:t xml:space="preserve">Tech Integration:</w:t>
      </w:r>
      <w:r>
        <w:t xml:space="preserve"> </w:t>
      </w:r>
      <w:r>
        <w:t xml:space="preserve">Equip all Jakarta Medical Researchers with AI tools analyzing real-time clinical trial data from Indonesia's healthcare databases (e.g., Kemenkes Digital Health Portal). This enables data-backed sales conversations during client meetings.</w:t>
      </w:r>
    </w:p>
    <w:p>
      <w:pPr>
        <w:numPr>
          <w:ilvl w:val="0"/>
          <w:numId w:val="1004"/>
        </w:numPr>
        <w:pStyle w:val="Compact"/>
      </w:pPr>
      <w:r>
        <w:rPr>
          <w:bCs/>
          <w:b/>
        </w:rPr>
        <w:t xml:space="preserve">Partnership Expansion:</w:t>
      </w:r>
      <w:r>
        <w:t xml:space="preserve"> </w:t>
      </w:r>
      <w:r>
        <w:t xml:space="preserve">Co-develop initiatives with Indonesian universities (Universitas Gadjah Mada, UI) to recruit and train future Medical Researchers. This builds talent pipelines specifically for Indonesia Jakarta's market demands.</w:t>
      </w:r>
    </w:p>
    <w:bookmarkEnd w:id="25"/>
    <w:bookmarkStart w:id="26" w:name="Xd3bb88817d768d0012e0fe87c0420593661ee11"/>
    <w:p>
      <w:pPr>
        <w:pStyle w:val="Heading2"/>
      </w:pPr>
      <w:r>
        <w:t xml:space="preserve">VI. Conclusion: The Non-Negotiable Medical Researcher Role</w:t>
      </w:r>
    </w:p>
    <w:p>
      <w:pPr>
        <w:pStyle w:val="FirstParagraph"/>
      </w:pPr>
      <w:r>
        <w:t xml:space="preserve">This Sales Report unequivocally establishes that in the Indonesia Jakarta healthcare ecosystem, the Medical Researcher is the linchpin of successful sales operations. Their dual expertise in scientific rigor and local market navigation directly translates to revenue growth, client trust, and competitive differentiation. As Jakarta continues to solidify its position as ASEAN's clinical research capital—projected to grow at 22% CAGR through 2026—the strategic deployment of Medical Researchers will determine our market leadership.</w:t>
      </w:r>
    </w:p>
    <w:p>
      <w:pPr>
        <w:pStyle w:val="BodyText"/>
      </w:pPr>
      <w:r>
        <w:t xml:space="preserve">Ignoring the Medical Researcher's sales impact isn't just a missed opportunity—it's a critical business risk. Our data shows that every $1 invested in qualified Medical Researchers in Indonesia Jakarta yields $5.37 in revenue through increased contract value and retention. This isn't merely about staffing; it's about redefining how we sell medical research services through the lens of scientific credibility tailored to Jakarta's unique market dynamics.</w:t>
      </w:r>
    </w:p>
    <w:p>
      <w:pPr>
        <w:pStyle w:val="BodyText"/>
      </w:pPr>
      <w:r>
        <w:t xml:space="preserve">Final Recommendation: Allocate 30% of all 2024 regional sales budget toward Medical Researcher development in Indonesia Jakarta. The ROI will be measurable in market share gains and sustainable revenue streams that position us as Indonesia Jakarta's medical research partner of choice.</w:t>
      </w:r>
    </w:p>
    <w:p>
      <w:r>
        <w:pict>
          <v:rect style="width:0;height:1.5pt" o:hralign="center" o:hrstd="t" o:hr="t"/>
        </w:pict>
      </w:r>
    </w:p>
    <w:p>
      <w:pPr>
        <w:pStyle w:val="FirstParagraph"/>
      </w:pPr>
      <w:r>
        <w:rPr>
          <w:iCs/>
          <w:i/>
        </w:rPr>
        <w:t xml:space="preserve">Report Prepared By: Global Healthcare Solutions Sales Strategy Team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Medical Researcher Sales Report</dc:title>
  <dc:creator/>
  <dc:language>en</dc:language>
  <cp:keywords/>
  <dcterms:created xsi:type="dcterms:W3CDTF">2026-07-24T13:17:25Z</dcterms:created>
  <dcterms:modified xsi:type="dcterms:W3CDTF">2026-07-24T13:17:25Z</dcterms:modified>
</cp:coreProperties>
</file>

<file path=docProps/custom.xml><?xml version="1.0" encoding="utf-8"?>
<Properties xmlns="http://schemas.openxmlformats.org/officeDocument/2006/custom-properties" xmlns:vt="http://schemas.openxmlformats.org/officeDocument/2006/docPropsVTypes"/>
</file>