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Medical</w:t>
      </w:r>
      <w:r>
        <w:t xml:space="preserve"> </w:t>
      </w:r>
      <w:r>
        <w:t xml:space="preserve">Research</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d0b6ddbb8d4fb301dc1cef685e594ef2e73eca4"/>
    <w:p>
      <w:pPr>
        <w:pStyle w:val="Heading1"/>
      </w:pPr>
      <w:r>
        <w:t xml:space="preserve">Quarterly Sales Report: Strategic Medical Research Services in Iran, Tehran</w:t>
      </w:r>
    </w:p>
    <w:bookmarkStart w:id="20" w:name="executive-summary"/>
    <w:p>
      <w:pPr>
        <w:pStyle w:val="Heading2"/>
      </w:pPr>
      <w:r>
        <w:t xml:space="preserve">Executive Summary</w:t>
      </w:r>
    </w:p>
    <w:p>
      <w:pPr>
        <w:pStyle w:val="FirstParagraph"/>
      </w:pPr>
      <w:r>
        <w:t xml:space="preserve">This comprehensive Sales Report details the performance and strategic positioning of our medical research services within the dynamic healthcare ecosystem of Iran, with a primary focus on Tehran. As the nation's premier medical research hub, Tehran represents 68% of Iran's pharmaceutical R&amp;D activities and hosts key institutions including Tehran University of Medical Sciences (TUMS) and Imam Khomeini Hospital Complex. Our sales performance in Q3 2023 demonstrates a 24% year-over-year growth in service contracts, directly attributable to our specialized</w:t>
      </w:r>
      <w:r>
        <w:t xml:space="preserve"> </w:t>
      </w:r>
      <w:r>
        <w:rPr>
          <w:bCs/>
          <w:b/>
        </w:rPr>
        <w:t xml:space="preserve">Medical Researcher</w:t>
      </w:r>
      <w:r>
        <w:t xml:space="preserve"> </w:t>
      </w:r>
      <w:r>
        <w:t xml:space="preserve">deployment model tailored for Iran's unique regulatory and clinical landscape. This report underscores how strategic partnerships with Tehran-based healthcare entities have driven revenue while addressing critical gaps in local research infrastructure.</w:t>
      </w:r>
    </w:p>
    <w:bookmarkEnd w:id="20"/>
    <w:bookmarkStart w:id="21" w:name="Xeff499a4fc58d4c73dc6f6d484a78c328db074f"/>
    <w:p>
      <w:pPr>
        <w:pStyle w:val="Heading2"/>
      </w:pPr>
      <w:r>
        <w:t xml:space="preserve">Market Analysis: Tehran Medical Research Landscape</w:t>
      </w:r>
    </w:p>
    <w:p>
      <w:pPr>
        <w:pStyle w:val="FirstParagraph"/>
      </w:pPr>
      <w:r>
        <w:t xml:space="preserve">Tehran's medical research sector faces distinctive challenges including complex approval processes by the Iranian Food and Drug Administration (IRANFDA), limited cross-institutional data sharing, and fluctuating foreign investment in healthcare R&amp;D. Our analysis reveals a 37% increase in demand for outsourced clinical research services within Tehran between 2022-2023, driven by pharmaceutical companies seeking to navigate Iran's regulatory framework efficiently. The</w:t>
      </w:r>
      <w:r>
        <w:t xml:space="preserve"> </w:t>
      </w:r>
      <w:r>
        <w:rPr>
          <w:bCs/>
          <w:b/>
        </w:rPr>
        <w:t xml:space="preserve">Medical Researcher</w:t>
      </w:r>
      <w:r>
        <w:t xml:space="preserve"> </w:t>
      </w:r>
      <w:r>
        <w:t xml:space="preserve">role has emerged as the critical nexus for success – acting as both scientific liaison and compliance navigator within Tehran's institutional hierarchy.</w:t>
      </w:r>
    </w:p>
    <w:p>
      <w:pPr>
        <w:pStyle w:val="BodyText"/>
      </w:pPr>
      <w:r>
        <w:t xml:space="preserve">Critical market indicators include:</w:t>
      </w:r>
    </w:p>
    <w:p>
      <w:pPr>
        <w:numPr>
          <w:ilvl w:val="0"/>
          <w:numId w:val="1001"/>
        </w:numPr>
        <w:pStyle w:val="Compact"/>
      </w:pPr>
      <w:r>
        <w:t xml:space="preserve">Tehran accounts for 72% of Iran's clinical trial registrations (Ministry of Health, Q1 2023)</w:t>
      </w:r>
    </w:p>
    <w:p>
      <w:pPr>
        <w:numPr>
          <w:ilvl w:val="0"/>
          <w:numId w:val="1001"/>
        </w:numPr>
        <w:pStyle w:val="Compact"/>
      </w:pPr>
      <w:r>
        <w:t xml:space="preserve">68% of foreign pharmaceutical firms entering Iran now mandate local medical research partnerships</w:t>
      </w:r>
    </w:p>
    <w:p>
      <w:pPr>
        <w:numPr>
          <w:ilvl w:val="0"/>
          <w:numId w:val="1001"/>
        </w:numPr>
        <w:pStyle w:val="Compact"/>
      </w:pPr>
      <w:r>
        <w:t xml:space="preserve">Regulatory delays average 47 days in Tehran versus national average of 39 days (IRANFDA Data)</w:t>
      </w:r>
    </w:p>
    <w:bookmarkEnd w:id="21"/>
    <w:bookmarkStart w:id="25" w:name="Xaec68a9f63a25279f0b2c5c6f7d9967304738c8"/>
    <w:p>
      <w:pPr>
        <w:pStyle w:val="Heading2"/>
      </w:pPr>
      <w:r>
        <w:t xml:space="preserve">Service Offerings: Medical Researcher-Driven Solutions</w:t>
      </w:r>
    </w:p>
    <w:p>
      <w:pPr>
        <w:pStyle w:val="FirstParagraph"/>
      </w:pPr>
      <w:r>
        <w:t xml:space="preserve">We have refined our core offerings to position the</w:t>
      </w:r>
      <w:r>
        <w:t xml:space="preserve"> </w:t>
      </w:r>
      <w:r>
        <w:rPr>
          <w:bCs/>
          <w:b/>
        </w:rPr>
        <w:t xml:space="preserve">Medical Researcher</w:t>
      </w:r>
      <w:r>
        <w:t xml:space="preserve"> </w:t>
      </w:r>
      <w:r>
        <w:t xml:space="preserve">as the strategic asset for Tehran-based clients. Unlike generic research services, our model embeds researchers within client operations with deep local expertise:</w:t>
      </w:r>
    </w:p>
    <w:bookmarkStart w:id="22" w:name="regulatory-navigation-ethics-compliance"/>
    <w:p>
      <w:pPr>
        <w:pStyle w:val="Heading3"/>
      </w:pPr>
      <w:r>
        <w:t xml:space="preserve">1. Regulatory Navigation &amp; Ethics Compliance</w:t>
      </w:r>
    </w:p>
    <w:p>
      <w:pPr>
        <w:pStyle w:val="FirstParagraph"/>
      </w:pPr>
      <w:r>
        <w:t xml:space="preserve">Tehran's IRB approval processes require nuanced understanding of cultural and bureaucratic protocols. Our certified Medical Researchers have reduced average submission timelines by 42% through proactive engagement with Tehran University Ethics Committees and IRANFDA, securing approvals for 89% of client trials in Q3 (vs. industry average of 67%).</w:t>
      </w:r>
    </w:p>
    <w:bookmarkEnd w:id="22"/>
    <w:bookmarkStart w:id="23" w:name="localized-clinical-trial-execution"/>
    <w:p>
      <w:pPr>
        <w:pStyle w:val="Heading3"/>
      </w:pPr>
      <w:r>
        <w:t xml:space="preserve">2. Localized Clinical Trial Execution</w:t>
      </w:r>
    </w:p>
    <w:p>
      <w:pPr>
        <w:pStyle w:val="FirstParagraph"/>
      </w:pPr>
      <w:r>
        <w:t xml:space="preserve">Our Tehran-based Medical Researchers leverage established relationships with 14 major hospitals including Shohada Hospital and Razi Hospital to recruit participants at 28% below market rate while ensuring culturally appropriate patient engagement – critical in Iran's diverse urban demographic.</w:t>
      </w:r>
    </w:p>
    <w:bookmarkEnd w:id="23"/>
    <w:bookmarkStart w:id="24" w:name="data-integration-reporting"/>
    <w:p>
      <w:pPr>
        <w:pStyle w:val="Heading3"/>
      </w:pPr>
      <w:r>
        <w:t xml:space="preserve">3. Data Integration &amp; Reporting</w:t>
      </w:r>
    </w:p>
    <w:p>
      <w:pPr>
        <w:pStyle w:val="FirstParagraph"/>
      </w:pPr>
      <w:r>
        <w:t xml:space="preserve">Addressing Tehran's fragmented health IT infrastructure, our researchers implement standardized data collection protocols compatible with Iran's National Health Information System (NHIS), enabling seamless reporting to both local authorities and international partners.</w:t>
      </w:r>
    </w:p>
    <w:bookmarkEnd w:id="24"/>
    <w:bookmarkEnd w:id="25"/>
    <w:bookmarkStart w:id="26" w:name="X09e114774733d83bda314dfb817095bf8d3817d"/>
    <w:p>
      <w:pPr>
        <w:pStyle w:val="Heading2"/>
      </w:pPr>
      <w:r>
        <w:t xml:space="preserve">Client Success Stories: Tehran Implementation</w:t>
      </w:r>
    </w:p>
    <w:p>
      <w:pPr>
        <w:pStyle w:val="FirstParagraph"/>
      </w:pPr>
      <w:r>
        <w:rPr>
          <w:bCs/>
          <w:b/>
        </w:rPr>
        <w:t xml:space="preserve">Case Study 1: Global Pharma Partner (Q3 2023)</w:t>
      </w:r>
    </w:p>
    <w:p>
      <w:pPr>
        <w:pStyle w:val="BodyText"/>
      </w:pPr>
      <w:r>
        <w:t xml:space="preserve">A multinational pharmaceutical company entered Iran to launch a novel diabetes treatment. Their initial trial in Tehran faced IRANFDA delays due to incomplete documentation. Our Senior Medical Researcher Dr. Amin Nouri (based at TUMS) restructured the submission package within 17 days, securing approval in 32 days – accelerating market entry by 89 days with a $4.2M cost saving.</w:t>
      </w:r>
    </w:p>
    <w:p>
      <w:pPr>
        <w:pStyle w:val="BodyText"/>
      </w:pPr>
      <w:r>
        <w:rPr>
          <w:bCs/>
          <w:b/>
        </w:rPr>
        <w:t xml:space="preserve">Case Study 2: Local Biotech Startup (Q2-Q3 2023)</w:t>
      </w:r>
    </w:p>
    <w:p>
      <w:pPr>
        <w:pStyle w:val="BodyText"/>
      </w:pPr>
      <w:r>
        <w:t xml:space="preserve">PersianMed, Tehran's fastest-growing biotech startup, engaged our Medical Researcher for Phase II trials on cardiovascular drugs. The researcher coordinated across three Tehran hospitals to overcome patient recruitment challenges, achieving 97% enrollment target with zero protocol deviations – a first for local startups in the region.</w:t>
      </w:r>
    </w:p>
    <w:bookmarkEnd w:id="26"/>
    <w:bookmarkStart w:id="27" w:name="X2988cbc34190ccba2232373e26c8c6528a714e5"/>
    <w:p>
      <w:pPr>
        <w:pStyle w:val="Heading2"/>
      </w:pPr>
      <w:r>
        <w:t xml:space="preserve">Challenges &amp; Strategic Response in Iran Tehran</w:t>
      </w:r>
    </w:p>
    <w:p>
      <w:pPr>
        <w:pStyle w:val="FirstParagraph"/>
      </w:pPr>
      <w:r>
        <w:t xml:space="preserve">Tehran's market presents unique hurdles that directly impact sales performance. Currency volatility has increased research costs by 18% year-over-year, while geopolitical factors require flexible contract structures. Our response includes:</w:t>
      </w:r>
    </w:p>
    <w:p>
      <w:pPr>
        <w:numPr>
          <w:ilvl w:val="0"/>
          <w:numId w:val="1002"/>
        </w:numPr>
        <w:pStyle w:val="Compact"/>
      </w:pPr>
      <w:r>
        <w:rPr>
          <w:bCs/>
          <w:b/>
        </w:rPr>
        <w:t xml:space="preserve">Localized Pricing Models:</w:t>
      </w:r>
      <w:r>
        <w:t xml:space="preserve"> </w:t>
      </w:r>
      <w:r>
        <w:t xml:space="preserve">Tiered service packages indexed to Iran's Rial fluctuations</w:t>
      </w:r>
    </w:p>
    <w:p>
      <w:pPr>
        <w:numPr>
          <w:ilvl w:val="0"/>
          <w:numId w:val="1002"/>
        </w:numPr>
        <w:pStyle w:val="Compact"/>
      </w:pPr>
      <w:r>
        <w:rPr>
          <w:bCs/>
          <w:b/>
        </w:rPr>
        <w:t xml:space="preserve">Cultural Integration:</w:t>
      </w:r>
      <w:r>
        <w:t xml:space="preserve"> </w:t>
      </w:r>
      <w:r>
        <w:t xml:space="preserve">All Medical Researchers must complete Tehran-specific cultural competency training</w:t>
      </w:r>
    </w:p>
    <w:p>
      <w:pPr>
        <w:numPr>
          <w:ilvl w:val="0"/>
          <w:numId w:val="1002"/>
        </w:numPr>
        <w:pStyle w:val="Compact"/>
      </w:pPr>
      <w:r>
        <w:rPr>
          <w:bCs/>
          <w:b/>
        </w:rPr>
        <w:t xml:space="preserve">Regulatory Anticipation:</w:t>
      </w:r>
      <w:r>
        <w:t xml:space="preserve"> </w:t>
      </w:r>
      <w:r>
        <w:t xml:space="preserve">Proactive monitoring of IRANFDA policy shifts through our Tehran office network</w:t>
      </w:r>
    </w:p>
    <w:bookmarkEnd w:id="27"/>
    <w:bookmarkStart w:id="28" w:name="X86f3faa29c48dfd21cb231db485f8160096ca40"/>
    <w:p>
      <w:pPr>
        <w:pStyle w:val="Heading2"/>
      </w:pPr>
      <w:r>
        <w:t xml:space="preserve">Sales Performance Metrics: Iran Tehran Focus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Revenue from Tehran Clients</w:t>
            </w:r>
          </w:p>
        </w:tc>
        <w:tc>
          <w:tcPr/>
          <w:p>
            <w:pPr>
              <w:pStyle w:val="Compact"/>
              <w:jc w:val="left"/>
            </w:pPr>
            <w:r>
              <w:t xml:space="preserve">$1.87M</w:t>
            </w:r>
          </w:p>
        </w:tc>
        <w:tc>
          <w:tcPr/>
          <w:p>
            <w:pPr>
              <w:pStyle w:val="Compact"/>
              <w:jc w:val="left"/>
            </w:pPr>
            <w:r>
              <w:t xml:space="preserve">+24%</w:t>
            </w:r>
          </w:p>
        </w:tc>
      </w:tr>
      <w:tr>
        <w:tc>
          <w:tcPr/>
          <w:p>
            <w:pPr>
              <w:pStyle w:val="Compact"/>
              <w:jc w:val="left"/>
            </w:pPr>
            <w:r>
              <w:t xml:space="preserve">New Client Acquisition (Tehran)</w:t>
            </w:r>
          </w:p>
        </w:tc>
        <w:tc>
          <w:tcPr/>
          <w:p>
            <w:pPr>
              <w:pStyle w:val="Compact"/>
              <w:jc w:val="left"/>
            </w:pPr>
            <w:r>
              <w:t xml:space="preserve">9</w:t>
            </w:r>
          </w:p>
        </w:tc>
        <w:tc>
          <w:tcPr/>
          <w:p>
            <w:pPr>
              <w:pStyle w:val="Compact"/>
              <w:jc w:val="left"/>
            </w:pPr>
            <w:r>
              <w:t xml:space="preserve">+31%</w:t>
            </w:r>
          </w:p>
        </w:tc>
      </w:tr>
      <w:tr>
        <w:tc>
          <w:tcPr/>
          <w:p>
            <w:pPr>
              <w:pStyle w:val="Compact"/>
              <w:jc w:val="left"/>
            </w:pPr>
            <w:r>
              <w:t xml:space="preserve">Client Retention Rate</w:t>
            </w:r>
          </w:p>
        </w:tc>
        <w:tc>
          <w:tcPr/>
          <w:p>
            <w:pPr>
              <w:pStyle w:val="Compact"/>
              <w:jc w:val="left"/>
            </w:pPr>
            <w:r>
              <w:t xml:space="preserve">86%</w:t>
            </w:r>
          </w:p>
        </w:tc>
        <w:tc>
          <w:tcPr/>
          <w:p>
            <w:pPr>
              <w:pStyle w:val="Compact"/>
              <w:jc w:val="left"/>
            </w:pPr>
            <w:r>
              <w:t xml:space="preserve">+12% pts</w:t>
            </w:r>
          </w:p>
        </w:tc>
      </w:tr>
      <w:tr>
        <w:tc>
          <w:tcPr/>
          <w:p>
            <w:pPr>
              <w:pStyle w:val="Compact"/>
              <w:jc w:val="left"/>
            </w:pPr>
            <w:r>
              <w:t xml:space="preserve">Average Contract Value (Tehran)</w:t>
            </w:r>
          </w:p>
        </w:tc>
        <w:tc>
          <w:tcPr/>
          <w:p>
            <w:pPr>
              <w:pStyle w:val="Compact"/>
              <w:jc w:val="left"/>
            </w:pPr>
            <w:r>
              <w:t xml:space="preserve">$208K</w:t>
            </w:r>
          </w:p>
        </w:tc>
        <w:tc>
          <w:tcPr/>
          <w:p>
            <w:pPr>
              <w:pStyle w:val="Compact"/>
              <w:jc w:val="left"/>
            </w:pPr>
            <w:r>
              <w:t xml:space="preserve">+15%</w:t>
            </w:r>
          </w:p>
        </w:tc>
      </w:tr>
    </w:tbl>
    <w:bookmarkEnd w:id="28"/>
    <w:bookmarkStart w:id="29" w:name="Xf886bfe73462bdfe2e2020a008eeba4b2037336"/>
    <w:p>
      <w:pPr>
        <w:pStyle w:val="Heading2"/>
      </w:pPr>
      <w:r>
        <w:t xml:space="preserve">Future Outlook: Strategic Priorities for Iran Tehran</w:t>
      </w:r>
    </w:p>
    <w:p>
      <w:pPr>
        <w:pStyle w:val="FirstParagraph"/>
      </w:pPr>
      <w:r>
        <w:t xml:space="preserve">Tehran remains the undisputed center of Iran's medical research economy, with government initiatives like "Health 4.0" increasing R&amp;D funding by 32% annually. Our strategic priorities include:</w:t>
      </w:r>
    </w:p>
    <w:p>
      <w:pPr>
        <w:numPr>
          <w:ilvl w:val="0"/>
          <w:numId w:val="1003"/>
        </w:numPr>
        <w:pStyle w:val="Compact"/>
      </w:pPr>
      <w:r>
        <w:rPr>
          <w:bCs/>
          <w:b/>
        </w:rPr>
        <w:t xml:space="preserve">Building Tehran Research Hubs:</w:t>
      </w:r>
      <w:r>
        <w:t xml:space="preserve"> </w:t>
      </w:r>
      <w:r>
        <w:t xml:space="preserve">Establishing dedicated satellite offices at TUMS and Shohada Hospital to deepen local integration</w:t>
      </w:r>
    </w:p>
    <w:p>
      <w:pPr>
        <w:numPr>
          <w:ilvl w:val="0"/>
          <w:numId w:val="1003"/>
        </w:numPr>
        <w:pStyle w:val="Compact"/>
      </w:pPr>
      <w:r>
        <w:rPr>
          <w:bCs/>
          <w:b/>
        </w:rPr>
        <w:t xml:space="preserve">Skill Development Pipeline:</w:t>
      </w:r>
      <w:r>
        <w:t xml:space="preserve"> </w:t>
      </w:r>
      <w:r>
        <w:t xml:space="preserve">Partnering with Tehran Medical Sciences University to create certified "Iran-Compliant Clinical Researcher" programs</w:t>
      </w:r>
    </w:p>
    <w:p>
      <w:pPr>
        <w:numPr>
          <w:ilvl w:val="0"/>
          <w:numId w:val="1003"/>
        </w:numPr>
        <w:pStyle w:val="Compact"/>
      </w:pPr>
      <w:r>
        <w:rPr>
          <w:bCs/>
          <w:b/>
        </w:rPr>
        <w:t xml:space="preserve">Digital Transformation:</w:t>
      </w:r>
      <w:r>
        <w:t xml:space="preserve"> </w:t>
      </w:r>
      <w:r>
        <w:t xml:space="preserve">Deploying AI-assisted trial management tools adapted for Tehran's data infrastructure</w:t>
      </w:r>
    </w:p>
    <w:bookmarkEnd w:id="29"/>
    <w:bookmarkStart w:id="30" w:name="X6e46306281934d755ae3b4c1f59c62d48930605"/>
    <w:p>
      <w:pPr>
        <w:pStyle w:val="Heading2"/>
      </w:pPr>
      <w:r>
        <w:t xml:space="preserve">Conclusion: The Medical Researcher as Strategic Asset</w:t>
      </w:r>
    </w:p>
    <w:p>
      <w:pPr>
        <w:pStyle w:val="FirstParagraph"/>
      </w:pPr>
      <w:r>
        <w:t xml:space="preserve">This Sales Report conclusively demonstrates that the</w:t>
      </w:r>
      <w:r>
        <w:t xml:space="preserve"> </w:t>
      </w:r>
      <w:r>
        <w:rPr>
          <w:bCs/>
          <w:b/>
        </w:rPr>
        <w:t xml:space="preserve">Medical Researcher</w:t>
      </w:r>
      <w:r>
        <w:t xml:space="preserve"> </w:t>
      </w:r>
      <w:r>
        <w:t xml:space="preserve">is not merely a service provider but the essential catalyst for success in Iran's Tehran healthcare market. Our growth trajectory confirms that specialized local expertise directly correlates with client retention and revenue expansion in this high-value segment. As Iran's healthcare sector evolves under new national initiatives, our embedded Medical Researchers will remain central to our strategy – transforming regulatory complexity into competitive advantage for every partner operating within Tehran's vibrant medical ecosystem.</w:t>
      </w:r>
    </w:p>
    <w:p>
      <w:pPr>
        <w:pStyle w:val="BodyText"/>
      </w:pPr>
      <w:r>
        <w:rPr>
          <w:bCs/>
          <w:b/>
        </w:rPr>
        <w:t xml:space="preserve">Prepared for: Executive Leadership &amp; Partners</w:t>
      </w:r>
      <w:r>
        <w:br/>
      </w:r>
      <w:r>
        <w:rPr>
          <w:bCs/>
          <w:b/>
        </w:rPr>
        <w:t xml:space="preserve">Report Period: July 1 - September 30, 2023</w:t>
      </w:r>
      <w:r>
        <w:br/>
      </w:r>
      <w:r>
        <w:rPr>
          <w:bCs/>
          <w:b/>
        </w:rPr>
        <w:t xml:space="preserve">Prepared By: Global Research Solutions, Tehran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Medical Research Sales Report - Q3 2023</dc:title>
  <dc:creator/>
  <dc:language>en</dc:language>
  <cp:keywords/>
  <dcterms:created xsi:type="dcterms:W3CDTF">2026-07-23T19:24:45Z</dcterms:created>
  <dcterms:modified xsi:type="dcterms:W3CDTF">2026-07-23T19:24:45Z</dcterms:modified>
</cp:coreProperties>
</file>

<file path=docProps/custom.xml><?xml version="1.0" encoding="utf-8"?>
<Properties xmlns="http://schemas.openxmlformats.org/officeDocument/2006/custom-properties" xmlns:vt="http://schemas.openxmlformats.org/officeDocument/2006/docPropsVTypes"/>
</file>