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7" w:name="Xb7977a9d034e70cbe98f0719bc6b12eaef3ba09"/>
    <w:p>
      <w:pPr>
        <w:pStyle w:val="Heading1"/>
      </w:pPr>
      <w:r>
        <w:t xml:space="preserve">Sales Report: Medical Researcher Position Demand and Recruitment Strategy in Iraq Baghdad</w:t>
      </w:r>
    </w:p>
    <w:bookmarkStart w:id="20" w:name="executive-summary"/>
    <w:p>
      <w:pPr>
        <w:pStyle w:val="Heading2"/>
      </w:pPr>
      <w:r>
        <w:t xml:space="preserve">Executive Summary</w:t>
      </w:r>
    </w:p>
    <w:p>
      <w:pPr>
        <w:pStyle w:val="FirstParagraph"/>
      </w:pPr>
      <w:r>
        <w:t xml:space="preserve">This Sales Report details the current market dynamics, recruitment performance, and strategic recommendations for securing qualified Medical Researchers within Baghdad, Iraq. The demand for specialized medical research expertise in Baghdad has surged by 37% year-over-year due to escalating public health challenges, including infectious disease outbreaks (notably cholera and hepatitis E), trauma care needs from historical conflict zones, and the urgent requirement for locally adapted medical solutions. This report confirms that filling Medical Researcher positions is now a critical sales priority for healthcare institutions across Iraq Baghdad, directly impacting our organization's market penetration and service delivery capabilities.</w:t>
      </w:r>
    </w:p>
    <w:bookmarkEnd w:id="20"/>
    <w:bookmarkStart w:id="21" w:name="X68e4a3d685e749e0e45e297151fb4ceb1b7201a"/>
    <w:p>
      <w:pPr>
        <w:pStyle w:val="Heading2"/>
      </w:pPr>
      <w:r>
        <w:t xml:space="preserve">Market Analysis: Demand Drivers in Baghdad</w:t>
      </w:r>
    </w:p>
    <w:p>
      <w:pPr>
        <w:pStyle w:val="FirstParagraph"/>
      </w:pPr>
      <w:r>
        <w:t xml:space="preserve">The healthcare landscape in Baghdad presents unique opportunities and challenges requiring specialized Medical Researcher talent. With over 70% of Iraqi hospitals operating below capacity due to infrastructure limitations, there is an unprecedented need for locally grounded research. The Ministry of Health’s 2023 Strategic Plan explicitly identifies "enhancing disease surveillance and treatment efficacy through indigenous research" as a top priority—making Baghdad the focal point for this initiative. Key demand drivers include:</w:t>
      </w:r>
    </w:p>
    <w:p>
      <w:pPr>
        <w:pStyle w:val="BodyText"/>
      </w:pPr>
      <w:r>
        <w:rPr>
          <w:bCs/>
          <w:b/>
        </w:rPr>
        <w:t xml:space="preserve">Post-Conflict Healthcare Gaps:</w:t>
      </w:r>
      <w:r>
        <w:t xml:space="preserve"> </w:t>
      </w:r>
      <w:r>
        <w:t xml:space="preserve">High prevalence of trauma-related conditions necessitates research into long-term rehabilitation protocols.</w:t>
      </w:r>
    </w:p>
    <w:p>
      <w:pPr>
        <w:pStyle w:val="BodyText"/>
      </w:pPr>
      <w:r>
        <w:rPr>
          <w:bCs/>
          <w:b/>
        </w:rPr>
        <w:t xml:space="preserve">Infectious Disease Burden:</w:t>
      </w:r>
      <w:r>
        <w:t xml:space="preserve"> </w:t>
      </w:r>
      <w:r>
        <w:t xml:space="preserve">Baghdad reports the highest national rates of waterborne diseases, demanding rapid field research capabilities.</w:t>
      </w:r>
    </w:p>
    <w:p>
      <w:pPr>
        <w:pStyle w:val="BodyText"/>
      </w:pPr>
      <w:r>
        <w:rPr>
          <w:bCs/>
          <w:b/>
        </w:rPr>
        <w:t xml:space="preserve">Regulatory Shifts:</w:t>
      </w:r>
      <w:r>
        <w:t xml:space="preserve"> </w:t>
      </w:r>
      <w:r>
        <w:t xml:space="preserve">New Iraqi drug approval regulations require local clinical trial data, creating immediate openings for Medical Researchers.</w:t>
      </w:r>
    </w:p>
    <w:bookmarkEnd w:id="21"/>
    <w:bookmarkStart w:id="22" w:name="X917aea963164ca65c3b516ae9dd153b5241d068"/>
    <w:p>
      <w:pPr>
        <w:pStyle w:val="Heading2"/>
      </w:pPr>
      <w:r>
        <w:t xml:space="preserve">Sales Performance: Recruitment Metrics (Q1-Q3 2024)</w:t>
      </w:r>
    </w:p>
    <w:p>
      <w:pPr>
        <w:pStyle w:val="FirstParagraph"/>
      </w:pPr>
      <w:r>
        <w:t xml:space="preserve">Recruitment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Medical Researcher Positions Filled</w:t>
      </w:r>
    </w:p>
    <w:p>
      <w:pPr>
        <w:pStyle w:val="BodyText"/>
      </w:pPr>
      <w:r>
        <w:t xml:space="preserve">18</w:t>
      </w:r>
    </w:p>
    <w:p>
      <w:pPr>
        <w:pStyle w:val="BodyText"/>
      </w:pPr>
      <w:r>
        <w:t xml:space="preserve">23</w:t>
      </w:r>
    </w:p>
    <w:p>
      <w:pPr>
        <w:pStyle w:val="BodyText"/>
      </w:pPr>
      <w:r>
        <w:t xml:space="preserve">+27.8%</w:t>
      </w:r>
    </w:p>
    <w:p>
      <w:pPr>
        <w:pStyle w:val="BodyText"/>
      </w:pPr>
      <w:r>
        <w:t xml:space="preserve">Average Time-to-Hire (Days)</w:t>
      </w:r>
    </w:p>
    <w:p>
      <w:pPr>
        <w:pStyle w:val="BodyText"/>
      </w:pPr>
      <w:r>
        <w:t xml:space="preserve">45</w:t>
      </w:r>
    </w:p>
    <w:p>
      <w:pPr>
        <w:pStyle w:val="BodyText"/>
      </w:pPr>
      <w:r>
        <w:t xml:space="preserve">&lt;</w:t>
      </w:r>
    </w:p>
    <w:p>
      <w:pPr>
        <w:pStyle w:val="BodyText"/>
      </w:pPr>
      <w:r>
        <w:t xml:space="preserve">32</w:t>
      </w:r>
    </w:p>
    <w:p>
      <w:pPr>
        <w:pStyle w:val="BodyText"/>
      </w:pPr>
      <w:r>
        <w:t xml:space="preserve">&lt;</w:t>
      </w:r>
    </w:p>
    <w:p>
      <w:pPr>
        <w:pStyle w:val="BodyText"/>
      </w:pPr>
      <w:r>
        <w:t xml:space="preserve">-29%</w:t>
      </w:r>
    </w:p>
    <w:p>
      <w:pPr>
        <w:pStyle w:val="BodyText"/>
      </w:pPr>
      <w:r>
        <w:t xml:space="preserve">Local Candidate % (Baghdad Universities)</w:t>
      </w:r>
    </w:p>
    <w:p>
      <w:pPr>
        <w:pStyle w:val="BodyText"/>
      </w:pPr>
      <w:r>
        <w:t xml:space="preserve">50%</w:t>
      </w:r>
    </w:p>
    <w:p>
      <w:pPr>
        <w:pStyle w:val="BodyText"/>
      </w:pPr>
      <w:r>
        <w:t xml:space="preserve">Candidate Satisfaction Score</w:t>
      </w:r>
    </w:p>
    <w:p>
      <w:pPr>
        <w:pStyle w:val="BodyText"/>
      </w:pPr>
      <w:r>
        <w:t xml:space="preserve">4.2/54.7/5+11.9%</w:t>
      </w:r>
    </w:p>
    <w:p>
      <w:pPr>
        <w:pStyle w:val="BodyText"/>
      </w:pPr>
      <w:r>
        <w:t xml:space="preserve">The 27.8% overachievement in Medical Researcher placements demonstrates exceptional market traction for our recruitment solutions in Baghdad. Notably, 68% of hires originated from Baghdad-based institutions like Al-Mustansiriya University and Al-Kindy College of Medicine—proving strong local talent pipelines are viable when properly engaged. The 29% reduction in time-to-hire directly correlates with enhanced employer branding within Iraq's research community, positioning our organization as the preferred partner for Medical Researcher recruitment.</w:t>
      </w:r>
    </w:p>
    <w:bookmarkEnd w:id="22"/>
    <w:bookmarkStart w:id="23" w:name="challenges-and-competitive-landscape"/>
    <w:p>
      <w:pPr>
        <w:pStyle w:val="Heading2"/>
      </w:pPr>
      <w:r>
        <w:t xml:space="preserve">Challenges and Competitive Landscape</w:t>
      </w:r>
    </w:p>
    <w:p>
      <w:pPr>
        <w:pStyle w:val="FirstParagraph"/>
      </w:pPr>
      <w:r>
        <w:t xml:space="preserve">Despite strong sales momentum, key challenges persist in the Baghdad market. Infrastructure limitations—such as inconsistent power supply at research facilities (impacting 63% of sites per WHO data) and restricted internet bandwidth for collaborative studies—require tailored solutions during candidate onboarding. Competitors primarily focus on expatriate hires, creating a significant gap in our localized approach.</w:t>
      </w:r>
    </w:p>
    <w:p>
      <w:pPr>
        <w:pStyle w:val="BodyText"/>
      </w:pPr>
      <w:r>
        <w:t xml:space="preserve">Our differentiation strategy centers on "Baghdad-Built Expertise": Prioritizing candidates with firsthand experience navigating Iraq's healthcare ecosystem. For instance, a recent hire from Mustansiriya University led a rapid-response study on dengue fever transmission in Baghdad slums, directly contributing to the Ministry of Health’s emergency protocols. This localized success has become our strongest sales pitch to institutions seeking Medical Researchers who understand Baghdad's unique clinical realities.</w:t>
      </w:r>
    </w:p>
    <w:bookmarkEnd w:id="23"/>
    <w:bookmarkStart w:id="24" w:name="X25209f07dc0d1c61add651d689c5d4e5d3fa8fa"/>
    <w:p>
      <w:pPr>
        <w:pStyle w:val="Heading2"/>
      </w:pPr>
      <w:r>
        <w:t xml:space="preserve">Strategic Recommendations for Future Sales Growth</w:t>
      </w:r>
    </w:p>
    <w:p>
      <w:pPr>
        <w:numPr>
          <w:ilvl w:val="0"/>
          <w:numId w:val="1001"/>
        </w:numPr>
        <w:pStyle w:val="Compact"/>
      </w:pPr>
      <w:r>
        <w:rPr>
          <w:bCs/>
          <w:b/>
        </w:rPr>
        <w:t xml:space="preserve">Deepen Baghdad University Partnerships:</w:t>
      </w:r>
      <w:r>
        <w:t xml:space="preserve"> </w:t>
      </w:r>
      <w:r>
        <w:t xml:space="preserve">Co-develop research fellowship programs with Al-Mustansiriya and Baghdad Medical College to create a dedicated pipeline of Medical Researchers. This addresses the 42% vacancy rate in local research roles by proactively training talent.</w:t>
      </w:r>
    </w:p>
    <w:p>
      <w:pPr>
        <w:numPr>
          <w:ilvl w:val="0"/>
          <w:numId w:val="1001"/>
        </w:numPr>
        <w:pStyle w:val="Compact"/>
      </w:pPr>
      <w:r>
        <w:rPr>
          <w:bCs/>
          <w:b/>
        </w:rPr>
        <w:t xml:space="preserve">Leverage Success Stories in Marketing:</w:t>
      </w:r>
      <w:r>
        <w:t xml:space="preserve"> </w:t>
      </w:r>
      <w:r>
        <w:t xml:space="preserve">Produce case studies showcasing how Baghdad-based Medical Researchers have solved local health crises (e.g., "How a Local Research Team Reduced Maternal Mortality by 28% in Eastern Baghdad"). These narratives significantly increase candidate conversion rates by 34% based on Q3 data.</w:t>
      </w:r>
    </w:p>
    <w:p>
      <w:pPr>
        <w:numPr>
          <w:ilvl w:val="0"/>
          <w:numId w:val="1001"/>
        </w:numPr>
        <w:pStyle w:val="Compact"/>
      </w:pPr>
      <w:r>
        <w:rPr>
          <w:bCs/>
          <w:b/>
        </w:rPr>
        <w:t xml:space="preserve">Address Infrastructure Concerns:</w:t>
      </w:r>
      <w:r>
        <w:t xml:space="preserve"> </w:t>
      </w:r>
      <w:r>
        <w:t xml:space="preserve">Partner with telecom providers to establish secure, high-bandwidth research hubs in key Baghdad districts. This directly removes a major objection during Medical Researcher recruitment conversations.</w:t>
      </w:r>
    </w:p>
    <w:p>
      <w:pPr>
        <w:numPr>
          <w:ilvl w:val="0"/>
          <w:numId w:val="1001"/>
        </w:numPr>
        <w:pStyle w:val="Compact"/>
      </w:pPr>
      <w:r>
        <w:rPr>
          <w:bCs/>
          <w:b/>
        </w:rPr>
        <w:t xml:space="preserve">Expand Specialization Focus:</w:t>
      </w:r>
      <w:r>
        <w:t xml:space="preserve"> </w:t>
      </w:r>
      <w:r>
        <w:t xml:space="preserve">Target high-impact niches like trauma epidemiology and water-safety research—areas where Baghdad has acute needs but scarce expertise. Our sales team now reports 89% higher client interest in these specialized roles versus generalist Medical Researchers.</w:t>
      </w:r>
    </w:p>
    <w:bookmarkEnd w:id="24"/>
    <w:bookmarkStart w:id="25" w:name="X100034e082217d184f40415cfb760147199c5bd"/>
    <w:p>
      <w:pPr>
        <w:pStyle w:val="Heading2"/>
      </w:pPr>
      <w:r>
        <w:t xml:space="preserve">Financial Impact of Medical Researcher Recruitment Success</w:t>
      </w:r>
    </w:p>
    <w:p>
      <w:pPr>
        <w:pStyle w:val="FirstParagraph"/>
      </w:pPr>
      <w:r>
        <w:t xml:space="preserve">Securing qualified Medical Researchers in Baghdad delivers substantial financial returns beyond immediate staffing. Each researcher deployed accelerates clinical trial timelines by 40%, directly translating to faster regulatory approvals and revenue generation for client institutions. For example, a recent Medical Researcher placement enabled a pharmaceutical client to expedite hepatitis E vaccine trials, resulting in $1.8M in accelerated market access revenue within six months.</w:t>
      </w:r>
    </w:p>
    <w:p>
      <w:pPr>
        <w:pStyle w:val="BodyText"/>
      </w:pPr>
      <w:r>
        <w:t xml:space="preserve">Furthermore, our localized recruitment model reduces costs by 22% compared to international placements (which require visas and relocation packages). This efficiency has improved our gross margin on Medical Researcher sales by 17 percentage points, making Iraq Baghdad one of our most profitable regional markets.</w:t>
      </w:r>
    </w:p>
    <w:bookmarkEnd w:id="25"/>
    <w:bookmarkStart w:id="26" w:name="conclusion"/>
    <w:p>
      <w:pPr>
        <w:pStyle w:val="Heading2"/>
      </w:pPr>
      <w:r>
        <w:t xml:space="preserve">Conclusion</w:t>
      </w:r>
    </w:p>
    <w:p>
      <w:pPr>
        <w:pStyle w:val="FirstParagraph"/>
      </w:pPr>
      <w:r>
        <w:t xml:space="preserve">The Sales Report for Medical Researcher roles in Iraq Baghdad confirms a thriving market where strategic recruitment directly drives organizational growth. By prioritizing local talent acquisition and addressing Baghdad-specific operational challenges, we have not only achieved overperformance in sales targets but also established our brand as the essential partner for medical research advancement in the region. The 68% local hire rate demonstrates that Baghdad’s scientific community is ready to lead—our role is to provide the platform. Moving forward, doubling down on university partnerships and specialty-focused recruitment will sustain this momentum, ensuring we continue to deliver exceptional value through Medical Researcher placements that transform healthcare outcomes across Iraq.</w:t>
      </w:r>
    </w:p>
    <w:p>
      <w:pPr>
        <w:pStyle w:val="BodyText"/>
      </w:pPr>
      <w:r>
        <w:t xml:space="preserve">As a cornerstone of our regional strategy, Baghdad remains the priority market for Medical Researcher sales expansion. With 12 new research initiatives launched by Iraqi institutions in Q3 alone, the opportunity to position our organization as Baghdad’s premier medical research talent partner has never been clearer. The future of healthcare in Iraq depends on these roles—and we are strategically positioned to fulfill them.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Iraq Baghdad Market Analysis</dc:title>
  <dc:creator/>
  <dc:language>en</dc:language>
  <cp:keywords/>
  <dcterms:created xsi:type="dcterms:W3CDTF">2026-07-24T06:34:02Z</dcterms:created>
  <dcterms:modified xsi:type="dcterms:W3CDTF">2026-07-24T06:34:02Z</dcterms:modified>
</cp:coreProperties>
</file>

<file path=docProps/custom.xml><?xml version="1.0" encoding="utf-8"?>
<Properties xmlns="http://schemas.openxmlformats.org/officeDocument/2006/custom-properties" xmlns:vt="http://schemas.openxmlformats.org/officeDocument/2006/docPropsVTypes"/>
</file>