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40dbdd8013b2302543ef4dff2d1ff0626108278"/>
    <w:p>
      <w:pPr>
        <w:pStyle w:val="Heading1"/>
      </w:pPr>
      <w:r>
        <w:t xml:space="preserve">Sales Report: Medical Researcher Performance and Market Analysis for Israel Tel Aviv (Q1-Q4 2023)</w:t>
      </w:r>
    </w:p>
    <w:bookmarkStart w:id="20" w:name="executive-summary"/>
    <w:p>
      <w:pPr>
        <w:pStyle w:val="Heading2"/>
      </w:pPr>
      <w:r>
        <w:t xml:space="preserve">Executive Summary</w:t>
      </w:r>
    </w:p>
    <w:p>
      <w:pPr>
        <w:pStyle w:val="FirstParagraph"/>
      </w:pPr>
      <w:r>
        <w:t xml:space="preserve">This comprehensive Sales Report details the performance of our Medical Researchers within the dynamic life sciences ecosystem of Israel Tel Aviv. As a pivotal hub for medical innovation, Tel Aviv has demonstrated exceptional growth in clinical research commercialization, with our Medical Researchers driving 38% year-over-year revenue increase. The report underscores how strategic alignment between scientific expertise and sales execution has positioned our organization as a leader in Israel's burgeoning medical research market.</w:t>
      </w:r>
    </w:p>
    <w:bookmarkEnd w:id="20"/>
    <w:bookmarkStart w:id="21" w:name="X7aaeed6aeac8ada39b0b81d2bf5b82775bb4a9e"/>
    <w:p>
      <w:pPr>
        <w:pStyle w:val="Heading2"/>
      </w:pPr>
      <w:r>
        <w:t xml:space="preserve">Market Analysis: Israel Tel Aviv's Research Landscape</w:t>
      </w:r>
    </w:p>
    <w:p>
      <w:pPr>
        <w:pStyle w:val="FirstParagraph"/>
      </w:pPr>
      <w:r>
        <w:t xml:space="preserve">Israel Tel Aviv remains the undisputed epicenter of medical innovation in the Middle East, housing 47% of all Israeli biotech firms and hosting world-class institutions like Sheba Medical Center, Rambam Health Care Campus, and the Technion-Israel Institute of Technology. Our Medical Researchers have leveraged this concentrated ecosystem to identify critical commercial opportunities across oncology, neurology, and precision diagnostics. In Tel Aviv specifically, medical research funding grew by 22% YoY (2023), creating unprecedented sales potential for scientifically informed solutions.</w:t>
      </w:r>
    </w:p>
    <w:p>
      <w:pPr>
        <w:pStyle w:val="BodyText"/>
      </w:pPr>
      <w:r>
        <w:t xml:space="preserve">The unique advantage of our Medical Researchers in Israel Tel Aviv lies in their dual expertise: they possess both clinical research credentials and commercial acumen. Unlike generic sales teams, our Medical Researchers understand the nuances of Israeli regulatory frameworks (including Ministry of Health approvals) and can translate complex scientific data into compelling value propositions for hospital administrators and research directors. This has proven especially effective in Tel Aviv's collaborative research environment, where institutions frequently partner on large-scale trials.</w:t>
      </w:r>
    </w:p>
    <w:bookmarkEnd w:id="21"/>
    <w:bookmarkStart w:id="22" w:name="sales-performance-overview"/>
    <w:p>
      <w:pPr>
        <w:pStyle w:val="Heading2"/>
      </w:pPr>
      <w:r>
        <w:t xml:space="preserve">Sales Performance Overview</w:t>
      </w:r>
    </w:p>
    <w:p>
      <w:pPr>
        <w:pStyle w:val="FirstParagraph"/>
      </w:pPr>
      <w:r>
        <w:t xml:space="preserve">Quarter</w:t>
      </w:r>
    </w:p>
    <w:p>
      <w:pPr>
        <w:pStyle w:val="BodyText"/>
      </w:pPr>
      <w:r>
        <w:t xml:space="preserve">Revenue (ILS)</w:t>
      </w:r>
    </w:p>
    <w:p>
      <w:pPr>
        <w:pStyle w:val="BodyText"/>
      </w:pPr>
      <w:r>
        <w:t xml:space="preserve">Key Products Sold</w:t>
      </w:r>
    </w:p>
    <w:p>
      <w:pPr>
        <w:pStyle w:val="BodyText"/>
      </w:pPr>
      <w:r>
        <w:t xml:space="preserve">Medical Researcher Impact Factor</w:t>
      </w:r>
    </w:p>
    <w:p>
      <w:pPr>
        <w:pStyle w:val="BodyText"/>
      </w:pPr>
      <w:r>
        <w:t xml:space="preserve">Q1 2023</w:t>
      </w:r>
    </w:p>
    <w:p>
      <w:pPr>
        <w:pStyle w:val="BodyText"/>
      </w:pPr>
      <w:r>
        <w:t xml:space="preserve">345,000</w:t>
      </w:r>
    </w:p>
    <w:p>
      <w:pPr>
        <w:pStyle w:val="BodyText"/>
      </w:pPr>
      <w:r>
        <w:t xml:space="preserve">Molecular Diagnostics Kits, Clinical Trial Software</w:t>
      </w:r>
    </w:p>
    <w:p>
      <w:pPr>
        <w:pStyle w:val="BodyText"/>
      </w:pPr>
      <w:r>
        <w:t xml:space="preserve">27% of deals closed by Medical Researchers</w:t>
      </w:r>
    </w:p>
    <w:p>
      <w:pPr>
        <w:pStyle w:val="BodyText"/>
      </w:pPr>
      <w:r>
        <w:t xml:space="preserve">Q2 2023</w:t>
      </w:r>
    </w:p>
    <w:p>
      <w:pPr>
        <w:pStyle w:val="BodyText"/>
      </w:pPr>
      <w:r>
        <w:t xml:space="preserve">489,000</w:t>
      </w:r>
    </w:p>
    <w:p>
      <w:pPr>
        <w:pStyle w:val="BodyText"/>
      </w:pPr>
      <w:r>
        <w:t xml:space="preserve">AI-Powered Genomic Analysis Platforms, Data Management Systems</w:t>
      </w:r>
    </w:p>
    <w:p>
      <w:pPr>
        <w:pStyle w:val="BodyText"/>
      </w:pPr>
      <w:r>
        <w:t xml:space="preserve">35% of strategic accounts secured through researcher-led engagements</w:t>
      </w:r>
    </w:p>
    <w:p>
      <w:pPr>
        <w:pStyle w:val="BodyText"/>
      </w:pPr>
      <w:r>
        <w:t xml:space="preserve">Q3 2023</w:t>
      </w:r>
    </w:p>
    <w:p>
      <w:pPr>
        <w:pStyle w:val="BodyText"/>
      </w:pPr>
      <w:r>
        <w:t xml:space="preserve">612,500</w:t>
      </w:r>
    </w:p>
    <w:p>
      <w:pPr>
        <w:pStyle w:val="BodyText"/>
      </w:pPr>
      <w:r>
        <w:t xml:space="preserve">Partnership with Sheba Medical Center's Oncology Department (ILS 387,000)</w:t>
      </w:r>
    </w:p>
    <w:p>
      <w:pPr>
        <w:pStyle w:val="BodyText"/>
      </w:pPr>
      <w:r>
        <w:t xml:space="preserve">Q4 2023</w:t>
      </w:r>
    </w:p>
    <w:p>
      <w:pPr>
        <w:pStyle w:val="BodyText"/>
      </w:pPr>
      <w:r>
        <w:t xml:space="preserve">756,800</w:t>
      </w:r>
    </w:p>
    <w:p>
      <w:pPr>
        <w:pStyle w:val="BodyText"/>
      </w:pPr>
      <w:r>
        <w:t xml:space="preserve">Precision Medicine Analytics Suite, Wearable Health Sensors</w:t>
      </w:r>
    </w:p>
    <w:p>
      <w:pPr>
        <w:pStyle w:val="BodyText"/>
      </w:pPr>
      <w:r>
        <w:t xml:space="preserve">42% of revenue directly attributed to Medical Researcher network in Tel Aviv</w:t>
      </w:r>
    </w:p>
    <w:p>
      <w:pPr>
        <w:pStyle w:val="BodyText"/>
      </w:pPr>
      <w:r>
        <w:t xml:space="preserve">The data reveals a clear correlation between Medical Researcher engagement depth and deal size. In Israel Tel Aviv specifically, deals facilitated by our Medical Researchers averaged 47% higher value than standard sales channels, demonstrating the critical role of scientific credibility in closing high-stakes research contracts.</w:t>
      </w:r>
    </w:p>
    <w:bookmarkEnd w:id="22"/>
    <w:bookmarkStart w:id="23" w:name="strategic-initiatives-driving-success"/>
    <w:p>
      <w:pPr>
        <w:pStyle w:val="Heading2"/>
      </w:pPr>
      <w:r>
        <w:t xml:space="preserve">Strategic Initiatives Driving Success</w:t>
      </w:r>
    </w:p>
    <w:p>
      <w:pPr>
        <w:pStyle w:val="FirstParagraph"/>
      </w:pPr>
      <w:r>
        <w:t xml:space="preserve">Our Medical Researchers have pioneered three key initiatives tailored to Israel Tel Aviv's unique market dynamics:</w:t>
      </w:r>
    </w:p>
    <w:p>
      <w:pPr>
        <w:numPr>
          <w:ilvl w:val="0"/>
          <w:numId w:val="1001"/>
        </w:numPr>
        <w:pStyle w:val="Compact"/>
      </w:pPr>
      <w:r>
        <w:rPr>
          <w:bCs/>
          <w:b/>
        </w:rPr>
        <w:t xml:space="preserve">Tel Aviv Clinical Network Development</w:t>
      </w:r>
      <w:r>
        <w:t xml:space="preserve">: Created a closed-loop referral system connecting our Medical Researchers with 18 major Tel Aviv hospitals and research centers, enabling rapid pilot program deployments.</w:t>
      </w:r>
    </w:p>
    <w:p>
      <w:pPr>
        <w:numPr>
          <w:ilvl w:val="0"/>
          <w:numId w:val="1001"/>
        </w:numPr>
        <w:pStyle w:val="Compact"/>
      </w:pPr>
      <w:r>
        <w:rPr>
          <w:bCs/>
          <w:b/>
        </w:rPr>
        <w:t xml:space="preserve">Regulatory Navigation Program</w:t>
      </w:r>
      <w:r>
        <w:t xml:space="preserve">: Developed a specialized training module addressing Israel Ministry of Health's specific requirements for clinical trial data, reducing compliance-related sales cycles by 33% in Tel Aviv markets.</w:t>
      </w:r>
    </w:p>
    <w:p>
      <w:pPr>
        <w:numPr>
          <w:ilvl w:val="0"/>
          <w:numId w:val="1001"/>
        </w:numPr>
        <w:pStyle w:val="Compact"/>
      </w:pPr>
      <w:r>
        <w:rPr>
          <w:bCs/>
          <w:b/>
        </w:rPr>
        <w:t xml:space="preserve">Local Innovation Co-Creation</w:t>
      </w:r>
      <w:r>
        <w:t xml:space="preserve">: Partnered with Technion University's Life Sciences Faculty to co-develop solutions addressing Tel Aviv-specific healthcare challenges (e.g., rare disease prevalence studies), resulting in 21 new product features validated by local Medical Researchers.</w:t>
      </w:r>
    </w:p>
    <w:bookmarkEnd w:id="23"/>
    <w:bookmarkStart w:id="24" w:name="X228c346483c9b3679ef18c9c4f08451eb2d302b"/>
    <w:p>
      <w:pPr>
        <w:pStyle w:val="Heading2"/>
      </w:pPr>
      <w:r>
        <w:t xml:space="preserve">Challenges and Solutions in Israel Tel Aviv Market</w:t>
      </w:r>
    </w:p>
    <w:p>
      <w:pPr>
        <w:pStyle w:val="FirstParagraph"/>
      </w:pPr>
      <w:r>
        <w:t xml:space="preserve">The competitive landscape in Israel Tel Aviv presents unique hurdles, particularly regarding:</w:t>
      </w:r>
    </w:p>
    <w:p>
      <w:pPr>
        <w:numPr>
          <w:ilvl w:val="0"/>
          <w:numId w:val="1002"/>
        </w:numPr>
        <w:pStyle w:val="Compact"/>
      </w:pPr>
      <w:r>
        <w:rPr>
          <w:bCs/>
          <w:b/>
        </w:rPr>
        <w:t xml:space="preserve">Resource Competition</w:t>
      </w:r>
      <w:r>
        <w:t xml:space="preserve">: 83% of medical research institutions in Tel Aviv have expanded their internal R&amp;D teams (2023). Our Medical Researchers countered this by establishing "Solution Clinics" where they demonstrate product efficacy through live case studies at local hospitals.</w:t>
      </w:r>
    </w:p>
    <w:p>
      <w:pPr>
        <w:numPr>
          <w:ilvl w:val="0"/>
          <w:numId w:val="1002"/>
        </w:numPr>
        <w:pStyle w:val="Compact"/>
      </w:pPr>
      <w:r>
        <w:rPr>
          <w:bCs/>
          <w:b/>
        </w:rPr>
        <w:t xml:space="preserve">Cultural Nuances</w:t>
      </w:r>
      <w:r>
        <w:t xml:space="preserve">: Israeli healthcare decision-makers prioritize rapid, tangible outcomes over traditional sales pitches. Medical Researchers adapted by creating "Impact Dashboards" showing real-time clinical data improvements during demonstrations.</w:t>
      </w:r>
    </w:p>
    <w:p>
      <w:pPr>
        <w:numPr>
          <w:ilvl w:val="0"/>
          <w:numId w:val="1002"/>
        </w:numPr>
        <w:pStyle w:val="Compact"/>
      </w:pPr>
      <w:r>
        <w:rPr>
          <w:bCs/>
          <w:b/>
        </w:rPr>
        <w:t xml:space="preserve">Regulatory Complexity</w:t>
      </w:r>
      <w:r>
        <w:t xml:space="preserve">: Israel's fast-changing medical device regulations required constant adaptation. Our Tel Aviv-based Medical Researchers developed a proprietary regulatory tracker that reduced compliance errors by 67% across all sales cycles.</w:t>
      </w:r>
    </w:p>
    <w:bookmarkEnd w:id="24"/>
    <w:bookmarkStart w:id="25" w:name="X3ecddd1a67d5b8ef6227a59046e4507698714d9"/>
    <w:p>
      <w:pPr>
        <w:pStyle w:val="Heading2"/>
      </w:pPr>
      <w:r>
        <w:t xml:space="preserve">Future Outlook: Medical Researcher Expansion in Israel Tel Aviv</w:t>
      </w:r>
    </w:p>
    <w:p>
      <w:pPr>
        <w:pStyle w:val="FirstParagraph"/>
      </w:pPr>
      <w:r>
        <w:t xml:space="preserve">Based on our Q4 performance, we project 20-30% growth in medical research commercialization within Israel Tel Aviv by Q4 2024. This will be driven by three strategic priorities:</w:t>
      </w:r>
    </w:p>
    <w:p>
      <w:pPr>
        <w:numPr>
          <w:ilvl w:val="0"/>
          <w:numId w:val="1003"/>
        </w:numPr>
        <w:pStyle w:val="Compact"/>
      </w:pPr>
      <w:r>
        <w:rPr>
          <w:bCs/>
          <w:b/>
        </w:rPr>
        <w:t xml:space="preserve">Medical Researcher Specialization</w:t>
      </w:r>
      <w:r>
        <w:t xml:space="preserve">: Creating tiered expertise tracks (Oncology, Neurology, Diagnostics) to match the deep-specialization trend in Tel Aviv's research hospitals.</w:t>
      </w:r>
    </w:p>
    <w:p>
      <w:pPr>
        <w:numPr>
          <w:ilvl w:val="0"/>
          <w:numId w:val="1003"/>
        </w:numPr>
        <w:pStyle w:val="Compact"/>
      </w:pPr>
      <w:r>
        <w:rPr>
          <w:bCs/>
          <w:b/>
        </w:rPr>
        <w:t xml:space="preserve">Tel Aviv Innovation Hub Expansion</w:t>
      </w:r>
      <w:r>
        <w:t xml:space="preserve">: Establishing a dedicated co-working space within Tel Aviv's biotech cluster to facilitate direct Medical Researcher interactions with local scientists and hospital administrators.</w:t>
      </w:r>
    </w:p>
    <w:p>
      <w:pPr>
        <w:numPr>
          <w:ilvl w:val="0"/>
          <w:numId w:val="1003"/>
        </w:numPr>
        <w:pStyle w:val="Compact"/>
      </w:pPr>
      <w:r>
        <w:rPr>
          <w:bCs/>
          <w:b/>
        </w:rPr>
        <w:t xml:space="preserve">AI-Powered Sales Intelligence</w:t>
      </w:r>
      <w:r>
        <w:t xml:space="preserve">: Deploying predictive analytics to identify emerging research needs in Tel Aviv based on publication trends, enabling Medical Researchers to proactively address unmet clinical demands.</w:t>
      </w:r>
    </w:p>
    <w:bookmarkEnd w:id="25"/>
    <w:bookmarkStart w:id="26" w:name="Xdfa6dcdfb713a9d2f4b9dbec2126713f25aba6c"/>
    <w:p>
      <w:pPr>
        <w:pStyle w:val="Heading2"/>
      </w:pPr>
      <w:r>
        <w:t xml:space="preserve">Conclusion: The Medical Researcher Advantage in Israel Tel Aviv</w:t>
      </w:r>
    </w:p>
    <w:p>
      <w:pPr>
        <w:pStyle w:val="FirstParagraph"/>
      </w:pPr>
      <w:r>
        <w:t xml:space="preserve">This Sales Report unequivocally demonstrates that our Medical Researchers are not merely sales personnel but strategic growth catalysts within the Israel Tel Aviv medical ecosystem. Their ability to bridge scientific rigor with commercial execution has transformed how research-driven solutions are sold, particularly in a market where credibility and technical understanding directly impact purchasing decisions.</w:t>
      </w:r>
    </w:p>
    <w:p>
      <w:pPr>
        <w:pStyle w:val="BodyText"/>
      </w:pPr>
      <w:r>
        <w:t xml:space="preserve">As Tel Aviv continues to solidify its position as the Middle East's life sciences capital, our Medical Researchers will remain central to capturing value across clinical trials, hospital technology adoption, and academic partnerships. The data shows that for every 1% increase in Medical Researcher engagement within Israel Tel Aviv institutions, revenue growth accelerates by 2.8%. This makes the ongoing investment in specialized Medical Researcher talent not just advantageous but essential for sustained market leadership.</w:t>
      </w:r>
    </w:p>
    <w:p>
      <w:pPr>
        <w:pStyle w:val="BodyText"/>
      </w:pPr>
      <w:r>
        <w:t xml:space="preserve">For the upcoming fiscal year, we recommend allocating 40% of our total sales development budget specifically to expanding our Medical Researcher network within Israel Tel Aviv, with particular focus on emerging sectors like AI-driven diagnostics and personalized medicine – areas where Tel Aviv's research community is leading global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Israel Tel Aviv</dc:title>
  <dc:creator/>
  <dc:language>en</dc:language>
  <cp:keywords/>
  <dcterms:created xsi:type="dcterms:W3CDTF">2026-07-24T16:57:42Z</dcterms:created>
  <dcterms:modified xsi:type="dcterms:W3CDTF">2026-07-24T16:57:42Z</dcterms:modified>
</cp:coreProperties>
</file>

<file path=docProps/custom.xml><?xml version="1.0" encoding="utf-8"?>
<Properties xmlns="http://schemas.openxmlformats.org/officeDocument/2006/custom-properties" xmlns:vt="http://schemas.openxmlformats.org/officeDocument/2006/docPropsVTypes"/>
</file>