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435f2395aef3d9dc89e37d38bb824cc17d02bd7"/>
    <w:p>
      <w:pPr>
        <w:pStyle w:val="Heading1"/>
      </w:pPr>
      <w:r>
        <w:t xml:space="preserve">Sales Report: Strategic Expansion of Medical Research Services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comprehensive Sales Report details the strategic opportunity for enhanced medical research services within the Italy Milan market. With Milan emerging as Europe's premier hub for pharmaceutical innovation, this report demonstrates how deploying a specialized Medical Researcher directly within our Italy Milan operations will drive 37% YoY revenue growth in clinical trial services. The data confirms that localized expertise is non-negotiable for capturing high-value contracts in Lombardy's $4.2B medical research economy.</w:t>
      </w:r>
    </w:p>
    <w:bookmarkEnd w:id="20"/>
    <w:bookmarkStart w:id="21" w:name="X78a6672a8fbf2d779003c3885833b862ca4cac9"/>
    <w:p>
      <w:pPr>
        <w:pStyle w:val="Heading2"/>
      </w:pPr>
      <w:r>
        <w:t xml:space="preserve">II. Market Context: Italy Milan as a Medical Research Epicenter</w:t>
      </w:r>
    </w:p>
    <w:p>
      <w:pPr>
        <w:pStyle w:val="FirstParagraph"/>
      </w:pPr>
      <w:r>
        <w:t xml:space="preserve">Italy Milan represents the undisputed core of European medical research commercialization. As the headquarters for 73% of Italy's top 100 pharmaceutical firms and home to renowned institutions like San Raffaele Hospital and Mario Negri Institute, Milan's ecosystem generates unprecedented demand for sophisticated clinical research services. Our Sales Report reveals that 89% of pharma executives in Milan prioritize local medical research expertise when selecting CRO partners. This creates a critical need for a dedicated Medical Researcher on-the-ground to navigate regional regulatory nuances (AIFA compliance), cultural dynamics, and competitive landscapes unique to Italy Milan.</w:t>
      </w:r>
    </w:p>
    <w:bookmarkEnd w:id="21"/>
    <w:bookmarkStart w:id="22" w:name="X4e641c8b6a04d8906fbd5308a34b2d2440cd430"/>
    <w:p>
      <w:pPr>
        <w:pStyle w:val="Heading2"/>
      </w:pPr>
      <w:r>
        <w:t xml:space="preserve">III. Current Sales Performance Analysis: The Gap in Italy Milan</w:t>
      </w:r>
    </w:p>
    <w:p>
      <w:pPr>
        <w:pStyle w:val="FirstParagraph"/>
      </w:pPr>
      <w:r>
        <w:t xml:space="preserve">Our existing sales metrics in Italy Milan show promising but constrained results. While we've secured 12 pilot projects ($1.8M revenue), conversion rates remain below regional benchmarks (48% vs. 63% industry average). Root cause analysis identifies two critical failures:</w:t>
      </w:r>
    </w:p>
    <w:p>
      <w:pPr>
        <w:numPr>
          <w:ilvl w:val="0"/>
          <w:numId w:val="1001"/>
        </w:numPr>
        <w:pStyle w:val="Compact"/>
      </w:pPr>
      <w:r>
        <w:rPr>
          <w:bCs/>
          <w:b/>
        </w:rPr>
        <w:t xml:space="preserve">Regulatory Misalignment:</w:t>
      </w:r>
      <w:r>
        <w:t xml:space="preserve"> </w:t>
      </w:r>
      <w:r>
        <w:t xml:space="preserve">67% of lost bids cited insufficient understanding of Italian clinical trial requirements</w:t>
      </w:r>
    </w:p>
    <w:p>
      <w:pPr>
        <w:numPr>
          <w:ilvl w:val="0"/>
          <w:numId w:val="1001"/>
        </w:numPr>
        <w:pStyle w:val="Compact"/>
      </w:pPr>
      <w:r>
        <w:rPr>
          <w:bCs/>
          <w:b/>
        </w:rPr>
        <w:t xml:space="preserve">Cultural Disconnect:</w:t>
      </w:r>
      <w:r>
        <w:t xml:space="preserve"> </w:t>
      </w:r>
      <w:r>
        <w:t xml:space="preserve">Clients reported discomfort with remote Medical Researcher teams during site management</w:t>
      </w:r>
    </w:p>
    <w:p>
      <w:pPr>
        <w:pStyle w:val="FirstParagraph"/>
      </w:pPr>
      <w:r>
        <w:t xml:space="preserve">This gap directly impacts our Sales Report's core thesis: Without a locally embedded Medical Researcher, Milan sales pipelines remain vulnerable to competitors like ICON and PPD who leverage regional expertise. Our 2023 Q3 Italy Milan sales data shows a 29% lower win rate for projects requiring complex AIFA interactions compared to in-region competitors.</w:t>
      </w:r>
    </w:p>
    <w:bookmarkEnd w:id="22"/>
    <w:bookmarkStart w:id="23" w:name="X55f38af6e2ecf15650d0346e1c888ea9427c44b"/>
    <w:p>
      <w:pPr>
        <w:pStyle w:val="Heading2"/>
      </w:pPr>
      <w:r>
        <w:t xml:space="preserve">IV. Strategic Value of the Medical Researcher Role in Italy Milan</w:t>
      </w:r>
    </w:p>
    <w:p>
      <w:pPr>
        <w:pStyle w:val="FirstParagraph"/>
      </w:pPr>
      <w:r>
        <w:t xml:space="preserve">The appointment of a dedicated Medical Researcher is not merely an operational upgrade—it's a revenue driver. In Milan, this role directly impacts sales velocity through three mechanisms:</w:t>
      </w:r>
    </w:p>
    <w:p>
      <w:pPr>
        <w:numPr>
          <w:ilvl w:val="0"/>
          <w:numId w:val="1002"/>
        </w:numPr>
        <w:pStyle w:val="Compact"/>
      </w:pPr>
      <w:r>
        <w:rPr>
          <w:bCs/>
          <w:b/>
        </w:rPr>
        <w:t xml:space="preserve">Client Trust Acceleration:</w:t>
      </w:r>
      <w:r>
        <w:t xml:space="preserve"> </w:t>
      </w:r>
      <w:r>
        <w:t xml:space="preserve">Local Medical Researchers shorten approval cycles by 41% (per our pilot with Novartis Milan) through established relationships with Lombardian ethics committees</w:t>
      </w:r>
    </w:p>
    <w:p>
      <w:pPr>
        <w:numPr>
          <w:ilvl w:val="0"/>
          <w:numId w:val="1002"/>
        </w:numPr>
        <w:pStyle w:val="Compact"/>
      </w:pPr>
      <w:r>
        <w:rPr>
          <w:bCs/>
          <w:b/>
        </w:rPr>
        <w:t xml:space="preserve">Solution Customization:</w:t>
      </w:r>
      <w:r>
        <w:t xml:space="preserve"> </w:t>
      </w:r>
      <w:r>
        <w:t xml:space="preserve">On-ground expertise enables tailored trial design addressing Italy-specific patient demographics (e.g., high prevalence of Type 2 diabetes in Milan's aging population)</w:t>
      </w:r>
    </w:p>
    <w:p>
      <w:pPr>
        <w:numPr>
          <w:ilvl w:val="0"/>
          <w:numId w:val="1002"/>
        </w:numPr>
        <w:pStyle w:val="Compact"/>
      </w:pPr>
      <w:r>
        <w:rPr>
          <w:bCs/>
          <w:b/>
        </w:rPr>
        <w:t xml:space="preserve">Competitive Differentiation:</w:t>
      </w:r>
      <w:r>
        <w:t xml:space="preserve"> </w:t>
      </w:r>
      <w:r>
        <w:t xml:space="preserve">Our Sales Report confirms clients prioritize vendors with permanent Italy Milan research staff, making us a top 3 choice in 78% of RFPs when this criterion is met</w:t>
      </w:r>
    </w:p>
    <w:bookmarkEnd w:id="23"/>
    <w:bookmarkStart w:id="24" w:name="X965741cd4003b68ff21683a68bb74663d6ee3fe"/>
    <w:p>
      <w:pPr>
        <w:pStyle w:val="Heading2"/>
      </w:pPr>
      <w:r>
        <w:t xml:space="preserve">V. Market-Specific Sales Data: Italy Milan Metrics</w:t>
      </w:r>
    </w:p>
    <w:p>
      <w:pPr>
        <w:pStyle w:val="FirstParagraph"/>
      </w:pPr>
      <w:r>
        <w:t xml:space="preserve">Quantitative evidence from our Italy Milan operations validates the Medical Researcher investment:</w:t>
      </w:r>
    </w:p>
    <w:p>
      <w:pPr>
        <w:pStyle w:val="BodyText"/>
      </w:pPr>
      <w:r>
        <w:t xml:space="preserve">KPI</w:t>
      </w:r>
    </w:p>
    <w:p>
      <w:pPr>
        <w:pStyle w:val="BodyText"/>
      </w:pPr>
      <w:r>
        <w:t xml:space="preserve">With Local Medical Researcher (Pilot)</w:t>
      </w:r>
    </w:p>
    <w:p>
      <w:pPr>
        <w:pStyle w:val="BodyText"/>
      </w:pPr>
      <w:r>
        <w:t xml:space="preserve">Without (Standard Model)</w:t>
      </w:r>
    </w:p>
    <w:p>
      <w:pPr>
        <w:pStyle w:val="BodyText"/>
      </w:pPr>
      <w:r>
        <w:t xml:space="preserve">Delta</w:t>
      </w:r>
    </w:p>
    <w:p>
      <w:pPr>
        <w:pStyle w:val="BodyText"/>
      </w:pPr>
      <w:r>
        <w:t xml:space="preserve">Average Contract Value ($)</w:t>
      </w:r>
    </w:p>
    <w:p>
      <w:pPr>
        <w:pStyle w:val="BodyText"/>
      </w:pPr>
      <w:r>
        <w:t xml:space="preserve">$387,000</w:t>
      </w:r>
    </w:p>
    <w:p>
      <w:pPr>
        <w:pStyle w:val="BodyText"/>
      </w:pPr>
      <w:r>
        <w:t xml:space="preserve">$242,000</w:t>
      </w:r>
    </w:p>
    <w:p>
      <w:pPr>
        <w:pStyle w:val="BodyText"/>
      </w:pPr>
      <w:r>
        <w:t xml:space="preserve">+59.9%</w:t>
      </w:r>
    </w:p>
    <w:p>
      <w:pPr>
        <w:pStyle w:val="BodyText"/>
      </w:pPr>
      <w:r>
        <w:t xml:space="preserve">Client Retention Rate (%)</w:t>
      </w:r>
    </w:p>
    <w:p>
      <w:pPr>
        <w:pStyle w:val="BodyText"/>
      </w:pPr>
      <w:r>
        <w:t xml:space="preserve">86%</w:t>
      </w:r>
    </w:p>
    <w:p>
      <w:pPr>
        <w:pStyle w:val="BodyText"/>
      </w:pPr>
      <w:r>
        <w:t xml:space="preserve">64%</w:t>
      </w:r>
    </w:p>
    <w:p>
      <w:pPr>
        <w:pStyle w:val="BodyText"/>
      </w:pPr>
      <w:r>
        <w:t xml:space="preserve">Sales Cycle Duration (Days)</w:t>
      </w:r>
    </w:p>
    <w:p>
      <w:pPr>
        <w:pStyle w:val="BodyText"/>
      </w:pPr>
      <w:r>
        <w:t xml:space="preserve">107</w:t>
      </w:r>
    </w:p>
    <w:p>
      <w:pPr>
        <w:pStyle w:val="BodyText"/>
      </w:pPr>
      <w:r>
        <w:t xml:space="preserve">152</w:t>
      </w:r>
    </w:p>
    <w:p>
      <w:pPr>
        <w:pStyle w:val="BodyText"/>
      </w:pPr>
      <w:r>
        <w:t xml:space="preserve">-30.9%</w:t>
      </w:r>
    </w:p>
    <w:p>
      <w:pPr>
        <w:pStyle w:val="BodyText"/>
      </w:pPr>
      <w:r>
        <w:t xml:space="preserve">Clinical trial services in Milan require nuanced understanding of regional factors—like the Lombardy Health Authority's preference for decentralized trials in urban settings—where our Medical Researcher role provides decisive competitive advantage.</w:t>
      </w:r>
    </w:p>
    <w:bookmarkEnd w:id="24"/>
    <w:bookmarkStart w:id="25" w:name="Xcddd6ed44f8ff0a217b2d73821a5aef3d7b4bfa"/>
    <w:p>
      <w:pPr>
        <w:pStyle w:val="Heading2"/>
      </w:pPr>
      <w:r>
        <w:t xml:space="preserve">VI. Competitive Intelligence: Italy Milan Landscape</w:t>
      </w:r>
    </w:p>
    <w:p>
      <w:pPr>
        <w:pStyle w:val="FirstParagraph"/>
      </w:pPr>
      <w:r>
        <w:t xml:space="preserve">Our Sales Report includes a detailed benchmark against Milan's top competitors:</w:t>
      </w:r>
    </w:p>
    <w:p>
      <w:pPr>
        <w:numPr>
          <w:ilvl w:val="0"/>
          <w:numId w:val="1003"/>
        </w:numPr>
        <w:pStyle w:val="Compact"/>
      </w:pPr>
      <w:r>
        <w:rPr>
          <w:bCs/>
          <w:b/>
        </w:rPr>
        <w:t xml:space="preserve">QuintilesIMS:</w:t>
      </w:r>
      <w:r>
        <w:t xml:space="preserve"> </w:t>
      </w:r>
      <w:r>
        <w:t xml:space="preserve">87% Italy Milan market share, but limited local research staff outside major hospitals</w:t>
      </w:r>
    </w:p>
    <w:p>
      <w:pPr>
        <w:numPr>
          <w:ilvl w:val="0"/>
          <w:numId w:val="1003"/>
        </w:numPr>
        <w:pStyle w:val="Compact"/>
      </w:pPr>
      <w:r>
        <w:rPr>
          <w:bCs/>
          <w:b/>
        </w:rPr>
        <w:t xml:space="preserve">DuPont Pharma:</w:t>
      </w:r>
      <w:r>
        <w:t xml:space="preserve"> </w:t>
      </w:r>
      <w:r>
        <w:t xml:space="preserve">High-quality medical research but lacks dedicated Milan-based Medical Researcher roles</w:t>
      </w:r>
    </w:p>
    <w:p>
      <w:pPr>
        <w:numPr>
          <w:ilvl w:val="0"/>
          <w:numId w:val="1003"/>
        </w:numPr>
        <w:pStyle w:val="Compact"/>
      </w:pPr>
      <w:r>
        <w:rPr>
          <w:bCs/>
          <w:b/>
        </w:rPr>
        <w:t xml:space="preserve">Luxembourg Biotech Group (Local):</w:t>
      </w:r>
      <w:r>
        <w:t xml:space="preserve"> </w:t>
      </w:r>
      <w:r>
        <w:t xml:space="preserve">Strong cultural alignment but weak global infrastructure—our Medical Researcher bridges this gap.</w:t>
      </w:r>
    </w:p>
    <w:p>
      <w:pPr>
        <w:pStyle w:val="FirstParagraph"/>
      </w:pPr>
      <w:r>
        <w:t xml:space="preserve">Clients consistently cite "local medical research expertise" as their #1 selection criterion. Our data shows 73% of Milan-based pharma buyers now require proof of permanent Italy Milan medical research personnel in vendor contracts—a trend accelerated by EU clinical trial regulation changes.</w:t>
      </w:r>
    </w:p>
    <w:bookmarkEnd w:id="25"/>
    <w:bookmarkStart w:id="26" w:name="X68c294193947404d54bf3588f722f230ced1505"/>
    <w:p>
      <w:pPr>
        <w:pStyle w:val="Heading2"/>
      </w:pPr>
      <w:r>
        <w:t xml:space="preserve">VII. Implementation Roadmap: Medical Researcher Deployment Strategy</w:t>
      </w:r>
    </w:p>
    <w:p>
      <w:pPr>
        <w:pStyle w:val="FirstParagraph"/>
      </w:pPr>
      <w:r>
        <w:t xml:space="preserve">To maximize sales impact in Italy Milan, we propose a three-phase rollout:</w:t>
      </w:r>
    </w:p>
    <w:p>
      <w:pPr>
        <w:numPr>
          <w:ilvl w:val="0"/>
          <w:numId w:val="1004"/>
        </w:numPr>
        <w:pStyle w:val="Compact"/>
      </w:pPr>
      <w:r>
        <w:rPr>
          <w:bCs/>
          <w:b/>
        </w:rPr>
        <w:t xml:space="preserve">Phase 1 (Q1 2024):</w:t>
      </w:r>
      <w:r>
        <w:t xml:space="preserve"> </w:t>
      </w:r>
      <w:r>
        <w:t xml:space="preserve">Recruit certified Medical Researcher with Lombardy clinical trial experience; establish base in Milan's scientific district (via our existing office at Via Broglio 56)</w:t>
      </w:r>
    </w:p>
    <w:p>
      <w:pPr>
        <w:numPr>
          <w:ilvl w:val="0"/>
          <w:numId w:val="1004"/>
        </w:numPr>
        <w:pStyle w:val="Compact"/>
      </w:pPr>
      <w:r>
        <w:rPr>
          <w:bCs/>
          <w:b/>
        </w:rPr>
        <w:t xml:space="preserve">Phase 2 (Q2 2024):</w:t>
      </w:r>
      <w:r>
        <w:t xml:space="preserve"> </w:t>
      </w:r>
      <w:r>
        <w:t xml:space="preserve">Integrate Medical Researcher into all key client onboarding—directly improving pitch conversion rates for Milan accounts</w:t>
      </w:r>
    </w:p>
    <w:p>
      <w:pPr>
        <w:numPr>
          <w:ilvl w:val="0"/>
          <w:numId w:val="1004"/>
        </w:numPr>
        <w:pStyle w:val="Compact"/>
      </w:pPr>
      <w:r>
        <w:rPr>
          <w:bCs/>
          <w:b/>
        </w:rPr>
        <w:t xml:space="preserve">Phase 3 (Q3+):</w:t>
      </w:r>
      <w:r>
        <w:t xml:space="preserve"> </w:t>
      </w:r>
      <w:r>
        <w:t xml:space="preserve">Leverage regional expertise to develop Milan-specific service packages driving premium pricing (15-20% above standard rates)</w:t>
      </w:r>
    </w:p>
    <w:p>
      <w:pPr>
        <w:pStyle w:val="FirstParagraph"/>
      </w:pPr>
      <w:r>
        <w:t xml:space="preserve">The ROI calculation shows full operational cost recovery within 8 months, with the Medical Researcher generating $1.2M in new revenue during Year 1.</w:t>
      </w:r>
    </w:p>
    <w:bookmarkEnd w:id="26"/>
    <w:bookmarkStart w:id="27" w:name="X0e32e16cb38a396a146a350d1a01887c422454e"/>
    <w:p>
      <w:pPr>
        <w:pStyle w:val="Heading2"/>
      </w:pPr>
      <w:r>
        <w:t xml:space="preserve">VIII. Conclusion: The Non-Negotiable Role of Local Expertise</w:t>
      </w:r>
    </w:p>
    <w:p>
      <w:pPr>
        <w:pStyle w:val="FirstParagraph"/>
      </w:pPr>
      <w:r>
        <w:t xml:space="preserve">This Sales Report unequivocally establishes that succeeding in Italy Milan's medical research market requires an embedded Medical Researcher presence. With Milan accounting for 34% of all Italian pharmaceutical R&amp;D spending, delaying this strategic investment risks ceding critical territory to regional competitors. Our data confirms that a local Medical Researcher directly correlates with higher deal values, faster sales cycles, and superior client retention—making it the cornerstone of our Italy Milan growth strategy.</w:t>
      </w:r>
    </w:p>
    <w:p>
      <w:pPr>
        <w:pStyle w:val="BodyText"/>
      </w:pPr>
      <w:r>
        <w:t xml:space="preserve">Final Recommendation: Approve immediate recruitment for the Milan-based Medical Researcher position. This is not merely a staffing request but a revenue imperative. The evidence from our Sales Report leaves no ambiguity: In Italy Milan, medical research success begins with local expertise.</w:t>
      </w:r>
    </w:p>
    <w:p>
      <w:pPr>
        <w:pStyle w:val="BodyText"/>
      </w:pPr>
      <w:r>
        <w:rPr>
          <w:bCs/>
          <w:b/>
        </w:rPr>
        <w:t xml:space="preserve">Appendix A:</w:t>
      </w:r>
      <w:r>
        <w:t xml:space="preserve"> </w:t>
      </w:r>
      <w:r>
        <w:t xml:space="preserve">Full regional market analysis (Milan-specific) |</w:t>
      </w:r>
      <w:r>
        <w:t xml:space="preserve"> </w:t>
      </w:r>
      <w:r>
        <w:rPr>
          <w:bCs/>
          <w:b/>
        </w:rPr>
        <w:t xml:space="preserve">Appendix B:</w:t>
      </w:r>
      <w:r>
        <w:t xml:space="preserve"> </w:t>
      </w:r>
      <w:r>
        <w:t xml:space="preserve">Client testimonials on Medical Researcher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Italy Milan Market Analysis</dc:title>
  <dc:creator/>
  <dc:language>en</dc:language>
  <cp:keywords/>
  <dcterms:created xsi:type="dcterms:W3CDTF">2026-07-24T08:55:01Z</dcterms:created>
  <dcterms:modified xsi:type="dcterms:W3CDTF">2026-07-24T08:55:01Z</dcterms:modified>
</cp:coreProperties>
</file>

<file path=docProps/custom.xml><?xml version="1.0" encoding="utf-8"?>
<Properties xmlns="http://schemas.openxmlformats.org/officeDocument/2006/custom-properties" xmlns:vt="http://schemas.openxmlformats.org/officeDocument/2006/docPropsVTypes"/>
</file>