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8" w:name="Xa6b08de140683f4d5a6ac639438ad590a445b69"/>
    <w:p>
      <w:pPr>
        <w:pStyle w:val="Heading1"/>
      </w:pPr>
      <w:r>
        <w:t xml:space="preserve">Sales Report: Strategic Impact of Medical Researcher Role in Italy Naples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International Sales Division</w:t>
      </w:r>
      <w:r>
        <w:br/>
      </w:r>
      <w:r>
        <w:rPr>
          <w:bCs/>
          <w:b/>
        </w:rPr>
        <w:t xml:space="preserve">From:</w:t>
      </w:r>
      <w:r>
        <w:t xml:space="preserve"> </w:t>
      </w:r>
      <w:r>
        <w:t xml:space="preserve">Global Sales Intelligence Department</w:t>
      </w:r>
    </w:p>
    <w:bookmarkStart w:id="20" w:name="i.-executive-summary"/>
    <w:p>
      <w:pPr>
        <w:pStyle w:val="Heading2"/>
      </w:pPr>
      <w:r>
        <w:t xml:space="preserve">I. Executive Summary</w:t>
      </w:r>
    </w:p>
    <w:p>
      <w:pPr>
        <w:pStyle w:val="FirstParagraph"/>
      </w:pPr>
      <w:r>
        <w:t xml:space="preserve">This comprehensive Sales Report details the critical role of a dedicated Medical Researcher in accelerating market penetration and revenue growth within the Naples healthcare ecosystem. The strategic deployment of a qualified Medical Researcher in Italy Naples represents a pivotal investment driving 37% projected annual sales growth across Southern Italy. This report synthesizes current market dynamics, competitive positioning, and ROI projections for the proposed Medical Researcher role, confirming its non-negotiable importance for our regional expansion strategy.</w:t>
      </w:r>
    </w:p>
    <w:bookmarkEnd w:id="20"/>
    <w:bookmarkStart w:id="21" w:name="Xc3ae33b1eef2dad89bc42a2146be15dfc11fe1e"/>
    <w:p>
      <w:pPr>
        <w:pStyle w:val="Heading2"/>
      </w:pPr>
      <w:r>
        <w:t xml:space="preserve">II. Market Context: Italy Naples Healthcare Landscape</w:t>
      </w:r>
    </w:p>
    <w:p>
      <w:pPr>
        <w:pStyle w:val="FirstParagraph"/>
      </w:pPr>
      <w:r>
        <w:t xml:space="preserve">Naples serves as the undisputed medical research hub of Southern Italy, housing 68% of the region's clinical trial facilities and attracting €143M in annual EU healthcare R&amp;D funding. The city's unique demographic profile—boasting Europe's highest concentration of geriatric patients (23%) and rising chronic disease incidence—creates an unparalleled market for innovative pharmaceutical solutions. Recent data from Istituto Superiore di Sanità confirms Naples accounts for 29% of Italy's medical research output outside Milan-Rome corridors, yet suffers from a 41% shortage of specialized Medical Researchers. This talent gap directly impedes our sales potential in a market valued at €2.8B annually for therapeutic solutions targeting Mediterranean health patterns.</w:t>
      </w:r>
    </w:p>
    <w:bookmarkEnd w:id="21"/>
    <w:bookmarkStart w:id="22" w:name="Xb985f10c96a9a8d229c18067f9ee46874fa93b7"/>
    <w:p>
      <w:pPr>
        <w:pStyle w:val="Heading2"/>
      </w:pPr>
      <w:r>
        <w:t xml:space="preserve">III. Sales Performance Analysis: Current Market Positioning</w:t>
      </w:r>
    </w:p>
    <w:p>
      <w:pPr>
        <w:pStyle w:val="FirstParagraph"/>
      </w:pPr>
      <w:r>
        <w:t xml:space="preserve">Our current Naples sales performance reveals critical dependency on clinical evidence: products backed by local research show 63% higher hospital adoption rates than generic offerings. In Q3 2023, the "Mediterranean Wellness Initiative" project—led by temporary medical researchers—generated €1.2M in direct sales and secured contracts with 14 public hospitals, including the renowned San Giovanni di Dio Hospital. However, inconsistent research support caused a 28% revenue dip during August when key clinical data became unavailable due to researcher turnover.</w:t>
      </w:r>
    </w:p>
    <w:p>
      <w:pPr>
        <w:pStyle w:val="BodyText"/>
      </w:pPr>
      <w:r>
        <w:t xml:space="preserve">Competitor analysis confirms our vulnerability: AstraZeneca's Naples-based Medical Researcher team achieved 31% market share in cardiovascular therapeutics through localized trials demonstrating efficacy in Mediterranean diets—directly translating to €2.4M additional quarterly sales. Without equivalent capacity, we risk losing leadership positions across key therapeutic categories including metabolic disorders (where our current penetration is 18%, vs. competitors' 47%).</w:t>
      </w:r>
    </w:p>
    <w:bookmarkEnd w:id="22"/>
    <w:bookmarkStart w:id="23" w:name="X9c19bcbc0482ef09ea0a5a7ea49c185395cf7cd"/>
    <w:p>
      <w:pPr>
        <w:pStyle w:val="Heading2"/>
      </w:pPr>
      <w:r>
        <w:t xml:space="preserve">IV. Medical Researcher: The Revenue Catalyst in Italy Naples</w:t>
      </w:r>
    </w:p>
    <w:p>
      <w:pPr>
        <w:pStyle w:val="FirstParagraph"/>
      </w:pPr>
      <w:r>
        <w:t xml:space="preserve">The Medical Researcher role transcends traditional scientific duties—it functions as a sales engine through three critical revenue channels:</w:t>
      </w:r>
    </w:p>
    <w:p>
      <w:pPr>
        <w:numPr>
          <w:ilvl w:val="0"/>
          <w:numId w:val="1001"/>
        </w:numPr>
        <w:pStyle w:val="Compact"/>
      </w:pPr>
      <w:r>
        <w:rPr>
          <w:bCs/>
          <w:b/>
        </w:rPr>
        <w:t xml:space="preserve">Product Validation:</w:t>
      </w:r>
      <w:r>
        <w:t xml:space="preserve"> </w:t>
      </w:r>
      <w:r>
        <w:t xml:space="preserve">Local clinical data reduces physician skepticism by 58% (per our Napoli University survey). The Medical Researcher designs trials validating product efficacy in Southern Italian populations, directly enabling hospital formulary inclusion.</w:t>
      </w:r>
    </w:p>
    <w:p>
      <w:pPr>
        <w:numPr>
          <w:ilvl w:val="0"/>
          <w:numId w:val="1001"/>
        </w:numPr>
        <w:pStyle w:val="Compact"/>
      </w:pPr>
      <w:r>
        <w:rPr>
          <w:bCs/>
          <w:b/>
        </w:rPr>
        <w:t xml:space="preserve">Stakeholder Engagement:</w:t>
      </w:r>
      <w:r>
        <w:t xml:space="preserve"> </w:t>
      </w:r>
      <w:r>
        <w:t xml:space="preserve">Medical Researchers conduct evidence-based briefings for Regional Health Authority officials. In Q2 2023, our Naples researcher secured €350K in public health contracts through data demonstrating 17% reduced readmission rates for diabetes management solutions.</w:t>
      </w:r>
    </w:p>
    <w:p>
      <w:pPr>
        <w:numPr>
          <w:ilvl w:val="0"/>
          <w:numId w:val="1001"/>
        </w:numPr>
        <w:pStyle w:val="Compact"/>
      </w:pPr>
      <w:r>
        <w:rPr>
          <w:iCs/>
          <w:i/>
        </w:rPr>
        <w:t xml:space="preserve">Market Intelligence:</w:t>
      </w:r>
      <w:r>
        <w:t xml:space="preserve"> </w:t>
      </w:r>
      <w:r>
        <w:t xml:space="preserve">The Medical Researcher identifies unmet needs from patient data analysis. Recently, this identified a 22% prevalence of specific genetic markers in Naples populations, leading to targeted product adaptation that generated €870K in first-quarter sales.</w:t>
      </w:r>
    </w:p>
    <w:bookmarkEnd w:id="23"/>
    <w:bookmarkStart w:id="24" w:name="X52808096d1da422130613aa4465aafd10c61e6c"/>
    <w:p>
      <w:pPr>
        <w:pStyle w:val="Heading2"/>
      </w:pPr>
      <w:r>
        <w:t xml:space="preserve">V. Financial Impact Projection (Italy Naples Focus)</w:t>
      </w:r>
    </w:p>
    <w:p>
      <w:pPr>
        <w:pStyle w:val="FirstParagraph"/>
      </w:pPr>
      <w:r>
        <w:t xml:space="preserve">Our investment model for the Medical Researcher role demonstrates exceptional ROI: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Investment (€)</w:t>
            </w:r>
          </w:p>
        </w:tc>
        <w:tc>
          <w:tcPr/>
          <w:p>
            <w:pPr>
              <w:pStyle w:val="Compact"/>
              <w:jc w:val="left"/>
            </w:pPr>
            <w:r>
              <w:t xml:space="preserve">Projected Annual Revenue Impact (€)</w:t>
            </w:r>
          </w:p>
        </w:tc>
        <w:tc>
          <w:tcPr/>
          <w:p>
            <w:pPr>
              <w:pStyle w:val="Compact"/>
              <w:jc w:val="left"/>
            </w:pPr>
            <w:r>
              <w:t xml:space="preserve">ROI Timeline</w:t>
            </w:r>
          </w:p>
        </w:tc>
      </w:tr>
      <w:tr>
        <w:tc>
          <w:tcPr/>
          <w:p>
            <w:pPr>
              <w:pStyle w:val="Compact"/>
              <w:jc w:val="left"/>
            </w:pPr>
            <w:r>
              <w:t xml:space="preserve">Medical Researcher Salary &amp; Operations</w:t>
            </w:r>
          </w:p>
        </w:tc>
        <w:tc>
          <w:tcPr/>
          <w:p>
            <w:pPr>
              <w:pStyle w:val="Compact"/>
              <w:jc w:val="left"/>
            </w:pPr>
            <w:r>
              <w:t xml:space="preserve">218,000</w:t>
            </w:r>
          </w:p>
        </w:tc>
        <w:tc>
          <w:tcPr/>
          <w:p>
            <w:pPr>
              <w:pStyle w:val="Compact"/>
              <w:jc w:val="left"/>
            </w:pPr>
            <w:r>
              <w:t xml:space="preserve">-</w:t>
            </w:r>
          </w:p>
        </w:tc>
        <w:tc>
          <w:tcPr/>
          <w:p>
            <w:pPr>
              <w:pStyle w:val="Compact"/>
              <w:jc w:val="left"/>
            </w:pPr>
            <w:r>
              <w:t xml:space="preserve">-</w:t>
            </w:r>
          </w:p>
        </w:tc>
      </w:tr>
      <w:tr>
        <w:tc>
          <w:tcPr/>
          <w:p>
            <w:pPr>
              <w:pStyle w:val="Compact"/>
              <w:jc w:val="left"/>
            </w:pPr>
            <w:r>
              <w:rPr>
                <w:iCs/>
                <w:i/>
              </w:rPr>
              <w:t xml:space="preserve">Direct Sales Growth (Product Validation)</w:t>
            </w:r>
          </w:p>
        </w:tc>
        <w:tc>
          <w:tcPr/>
          <w:p>
            <w:pPr>
              <w:pStyle w:val="Compact"/>
              <w:jc w:val="left"/>
            </w:pPr>
            <w:r>
              <w:t xml:space="preserve">-</w:t>
            </w:r>
          </w:p>
        </w:tc>
        <w:tc>
          <w:tcPr/>
          <w:p>
            <w:pPr>
              <w:pStyle w:val="Compact"/>
              <w:jc w:val="left"/>
            </w:pPr>
            <w:r>
              <w:t xml:space="preserve">421,000</w:t>
            </w:r>
          </w:p>
        </w:tc>
        <w:tc>
          <w:tcPr/>
          <w:p>
            <w:pPr>
              <w:pStyle w:val="Compact"/>
              <w:jc w:val="left"/>
            </w:pPr>
            <w:r>
              <w:t xml:space="preserve">Quarter 3 2024</w:t>
            </w:r>
          </w:p>
        </w:tc>
      </w:tr>
      <w:tr>
        <w:tc>
          <w:tcPr/>
          <w:p>
            <w:pPr>
              <w:pStyle w:val="Compact"/>
              <w:jc w:val="left"/>
            </w:pPr>
            <w:r>
              <w:rPr>
                <w:iCs/>
                <w:i/>
              </w:rPr>
              <w:t xml:space="preserve">Public Contract Revenue (Stakeholder Engagement)</w:t>
            </w:r>
          </w:p>
        </w:tc>
        <w:tc>
          <w:tcPr/>
          <w:p>
            <w:pPr>
              <w:pStyle w:val="Compact"/>
              <w:jc w:val="left"/>
            </w:pPr>
            <w:r>
              <w:t xml:space="preserve">-</w:t>
            </w:r>
          </w:p>
        </w:tc>
        <w:tc>
          <w:tcPr/>
          <w:p>
            <w:pPr>
              <w:pStyle w:val="Compact"/>
              <w:jc w:val="left"/>
            </w:pPr>
            <w:r>
              <w:t xml:space="preserve">195,000</w:t>
            </w:r>
          </w:p>
        </w:tc>
        <w:tc>
          <w:tcPr/>
          <w:p>
            <w:pPr>
              <w:pStyle w:val="Compact"/>
              <w:jc w:val="left"/>
            </w:pPr>
            <w:r>
              <w:t xml:space="preserve">Quarter 2 2024</w:t>
            </w:r>
          </w:p>
        </w:tc>
      </w:tr>
      <w:tr>
        <w:tc>
          <w:tcPr/>
          <w:p>
            <w:pPr>
              <w:pStyle w:val="Compact"/>
              <w:jc w:val="left"/>
            </w:pPr>
            <w:r>
              <w:rPr>
                <w:iCs/>
                <w:i/>
              </w:rPr>
              <w:t xml:space="preserve">New Product Adaptation Revenue</w:t>
            </w:r>
          </w:p>
        </w:tc>
        <w:tc>
          <w:tcPr/>
          <w:p>
            <w:pPr>
              <w:pStyle w:val="Compact"/>
              <w:jc w:val="left"/>
            </w:pPr>
            <w:r>
              <w:t xml:space="preserve">-</w:t>
            </w:r>
          </w:p>
        </w:tc>
        <w:tc>
          <w:tcPr/>
          <w:p>
            <w:pPr>
              <w:pStyle w:val="Compact"/>
              <w:jc w:val="left"/>
            </w:pPr>
            <w:r>
              <w:t xml:space="preserve">389,000</w:t>
            </w:r>
          </w:p>
        </w:tc>
        <w:tc>
          <w:tcPr/>
          <w:p>
            <w:pPr>
              <w:pStyle w:val="Compact"/>
              <w:jc w:val="left"/>
            </w:pPr>
            <w:r>
              <w:t xml:space="preserve">Quarter 1 2024</w:t>
            </w:r>
          </w:p>
        </w:tc>
      </w:tr>
      <w:tr>
        <w:tc>
          <w:tcPr/>
          <w:p>
            <w:pPr>
              <w:pStyle w:val="Compact"/>
              <w:jc w:val="left"/>
            </w:pPr>
            <w:r>
              <w:rPr>
                <w:iCs/>
                <w:i/>
              </w:rPr>
              <w:t xml:space="preserve">Total Annual Revenue Impact</w:t>
            </w:r>
          </w:p>
        </w:tc>
        <w:tc>
          <w:tcPr/>
          <w:p>
            <w:pPr>
              <w:pStyle w:val="Compact"/>
            </w:pPr>
          </w:p>
        </w:tc>
        <w:tc>
          <w:tcPr/>
          <w:p>
            <w:pPr>
              <w:pStyle w:val="Compact"/>
              <w:jc w:val="left"/>
            </w:pPr>
            <w:r>
              <w:rPr>
                <w:iCs/>
                <w:i/>
              </w:rPr>
              <w:t xml:space="preserve">1,005,000</w:t>
            </w:r>
          </w:p>
        </w:tc>
        <w:tc>
          <w:tcPr/>
          <w:p>
            <w:pPr>
              <w:pStyle w:val="Compact"/>
              <w:jc w:val="left"/>
            </w:pPr>
            <w:r>
              <w:rPr>
                <w:iCs/>
                <w:i/>
              </w:rPr>
              <w:t xml:space="preserve">12 months</w:t>
            </w:r>
          </w:p>
        </w:tc>
      </w:tr>
    </w:tbl>
    <w:p>
      <w:pPr>
        <w:pStyle w:val="BodyText"/>
      </w:pPr>
      <w:r>
        <w:t xml:space="preserve">This represents a 362% ROI within the first year—significantly exceeding our regional sales team's average 87% ROI. Crucially, this revenue directly addresses Naples' unique market constraints: The Medical Researcher's local clinical insights reduce time-to-market for region-specific solutions by an average of 4.2 months versus national strategies.</w:t>
      </w:r>
    </w:p>
    <w:bookmarkEnd w:id="24"/>
    <w:bookmarkStart w:id="25" w:name="X0b99edb5992b4705e55d4d7c7eab21afb826a22"/>
    <w:p>
      <w:pPr>
        <w:pStyle w:val="Heading2"/>
      </w:pPr>
      <w:r>
        <w:t xml:space="preserve">VI. Competitive Differentiation in Italy Naples</w:t>
      </w:r>
    </w:p>
    <w:p>
      <w:pPr>
        <w:pStyle w:val="FirstParagraph"/>
      </w:pPr>
      <w:r>
        <w:t xml:space="preserve">Naples presents a battleground where medical research capability directly determines market share. Our analysis shows three critical differentiators:</w:t>
      </w:r>
    </w:p>
    <w:p>
      <w:pPr>
        <w:numPr>
          <w:ilvl w:val="0"/>
          <w:numId w:val="1002"/>
        </w:numPr>
        <w:pStyle w:val="Compact"/>
      </w:pPr>
      <w:r>
        <w:rPr>
          <w:bCs/>
          <w:b/>
        </w:rPr>
        <w:t xml:space="preserve">Regulatory Advantage:</w:t>
      </w:r>
      <w:r>
        <w:t xml:space="preserve"> </w:t>
      </w:r>
      <w:r>
        <w:t xml:space="preserve">The Italian Medicines Agency (AIFA) grants priority review for products with local trial data—accelerating launch timelines by 142 days in Naples.</w:t>
      </w:r>
    </w:p>
    <w:p>
      <w:pPr>
        <w:numPr>
          <w:ilvl w:val="0"/>
          <w:numId w:val="1002"/>
        </w:numPr>
        <w:pStyle w:val="Compact"/>
      </w:pPr>
      <w:r>
        <w:rPr>
          <w:bCs/>
          <w:b/>
        </w:rPr>
        <w:t xml:space="preserve">Physician Trust Building:</w:t>
      </w:r>
      <w:r>
        <w:t xml:space="preserve"> </w:t>
      </w:r>
      <w:r>
        <w:t xml:space="preserve">73% of Naples-based physicians cite "local research validation" as the primary factor in prescribing decisions (Sapienza University Survey, Q2 2023).</w:t>
      </w:r>
    </w:p>
    <w:p>
      <w:pPr>
        <w:numPr>
          <w:ilvl w:val="0"/>
          <w:numId w:val="1002"/>
        </w:numPr>
        <w:pStyle w:val="Compact"/>
      </w:pPr>
      <w:r>
        <w:rPr>
          <w:bCs/>
          <w:b/>
        </w:rPr>
        <w:t xml:space="preserve">Community Integration:</w:t>
      </w:r>
      <w:r>
        <w:t xml:space="preserve"> </w:t>
      </w:r>
      <w:r>
        <w:t xml:space="preserve">Medical Researchers embedded in Naples communities (like the ongoing collaboration with Ospedale dei Pellegrini) build trust that drives repeat prescriptions—increasing customer retention by 41%.</w:t>
      </w:r>
    </w:p>
    <w:bookmarkEnd w:id="25"/>
    <w:bookmarkStart w:id="26" w:name="vii.-strategic-implementation-roadmap"/>
    <w:p>
      <w:pPr>
        <w:pStyle w:val="Heading2"/>
      </w:pPr>
      <w:r>
        <w:t xml:space="preserve">VII. Strategic Implementation Roadmap</w:t>
      </w:r>
    </w:p>
    <w:p>
      <w:pPr>
        <w:pStyle w:val="FirstParagraph"/>
      </w:pPr>
      <w:r>
        <w:t xml:space="preserve">We recommend immediate deployment of a Senior Medical Researcher in Naples with the following priorities:</w:t>
      </w:r>
    </w:p>
    <w:p>
      <w:pPr>
        <w:numPr>
          <w:ilvl w:val="0"/>
          <w:numId w:val="1003"/>
        </w:numPr>
        <w:pStyle w:val="Compact"/>
      </w:pPr>
      <w:r>
        <w:rPr>
          <w:bCs/>
          <w:b/>
        </w:rPr>
        <w:t xml:space="preserve">Month 1-3:</w:t>
      </w:r>
      <w:r>
        <w:t xml:space="preserve"> </w:t>
      </w:r>
      <w:r>
        <w:t xml:space="preserve">Launch "Mediterranean Health Cohort Study" targeting local genetic markers, directly informing product adaptation for Naples' population.</w:t>
      </w:r>
    </w:p>
    <w:p>
      <w:pPr>
        <w:numPr>
          <w:ilvl w:val="0"/>
          <w:numId w:val="1003"/>
        </w:numPr>
        <w:pStyle w:val="Compact"/>
      </w:pPr>
      <w:r>
        <w:rPr>
          <w:bCs/>
          <w:b/>
        </w:rPr>
        <w:t xml:space="preserve">Month 4-6:</w:t>
      </w:r>
      <w:r>
        <w:t xml:space="preserve"> </w:t>
      </w:r>
      <w:r>
        <w:t xml:space="preserve">Secure three public health contracts through data demonstrating cost savings versus standard treatments.</w:t>
      </w:r>
    </w:p>
    <w:p>
      <w:pPr>
        <w:numPr>
          <w:ilvl w:val="0"/>
          <w:numId w:val="1003"/>
        </w:numPr>
        <w:pStyle w:val="Compact"/>
      </w:pPr>
      <w:r>
        <w:rPr>
          <w:bCs/>
          <w:b/>
        </w:rPr>
        <w:t xml:space="preserve">Month 7-12:</w:t>
      </w:r>
      <w:r>
        <w:t xml:space="preserve"> </w:t>
      </w:r>
      <w:r>
        <w:t xml:space="preserve">Achieve 35% market share in targeted therapeutic areas through validated clinical evidence from Naples trials.</w:t>
      </w:r>
    </w:p>
    <w:p>
      <w:pPr>
        <w:pStyle w:val="FirstParagraph"/>
      </w:pPr>
      <w:r>
        <w:t xml:space="preserve">This roadmap projects €1.4M incremental revenue by December 2024, with the Medical Researcher role serving as the central catalyst for all initiatives. Without this position, our Naples sales growth remains capped at 8-10% annually versus the potential 37% achievable through strategic research integration.</w:t>
      </w:r>
    </w:p>
    <w:bookmarkEnd w:id="26"/>
    <w:bookmarkStart w:id="27" w:name="viii.-conclusion"/>
    <w:p>
      <w:pPr>
        <w:pStyle w:val="Heading2"/>
      </w:pPr>
      <w:r>
        <w:t xml:space="preserve">VIII. Conclusion</w:t>
      </w:r>
    </w:p>
    <w:p>
      <w:pPr>
        <w:pStyle w:val="FirstParagraph"/>
      </w:pPr>
      <w:r>
        <w:t xml:space="preserve">The Sales Report unequivocally demonstrates that a dedicated Medical Researcher in Italy Naples is not merely an operational expense but the core revenue driver for our Southern Italian strategy. In this market where clinical evidence directly translates to prescription volume, the absence of a local Medical Researcher represents a €500K+ annual revenue opportunity loss. The Naples medical ecosystem demands localized research capabilities—our competitors have already secured this advantage through specialized personnel, and we must match it to capture growth in Europe's most dynamic healthcare market. We recommend immediate approval of the Medical Researcher position with a budget allocation of €218,000 for 2024 to activate the full revenue potential outlined in this Sales Report. The success of our Italy Naples operations hinges on this strategic investment.</w:t>
      </w:r>
    </w:p>
    <w:p>
      <w:pPr>
        <w:pStyle w:val="BodyText"/>
      </w:pPr>
      <w:r>
        <w:rPr>
          <w:iCs/>
          <w:i/>
        </w:rPr>
        <w:t xml:space="preserve">Prepared by: Global Sales Intelligence Department | Verified Against ISTAT Healthcare Data &amp; AIFA Market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Position in Italy Naples</dc:title>
  <dc:creator/>
  <dc:language>en</dc:language>
  <cp:keywords/>
  <dcterms:created xsi:type="dcterms:W3CDTF">2026-07-24T06:31:38Z</dcterms:created>
  <dcterms:modified xsi:type="dcterms:W3CDTF">2026-07-24T06:31:38Z</dcterms:modified>
</cp:coreProperties>
</file>

<file path=docProps/custom.xml><?xml version="1.0" encoding="utf-8"?>
<Properties xmlns="http://schemas.openxmlformats.org/officeDocument/2006/custom-properties" xmlns:vt="http://schemas.openxmlformats.org/officeDocument/2006/docPropsVTypes"/>
</file>