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Services</w:t>
      </w:r>
      <w:r>
        <w:t xml:space="preserve"> </w:t>
      </w:r>
      <w:r>
        <w:t xml:space="preserve">in</w:t>
      </w:r>
      <w:r>
        <w:t xml:space="preserve"> </w:t>
      </w:r>
      <w:r>
        <w:t xml:space="preserve">Japan</w:t>
      </w:r>
      <w:r>
        <w:t xml:space="preserve"> </w:t>
      </w:r>
      <w:r>
        <w:t xml:space="preserve">Kyoto</w:t>
      </w:r>
    </w:p>
    <w:bookmarkStart w:id="27" w:name="X1c66a6401544512e75bcd40db237020b7556172"/>
    <w:p>
      <w:pPr>
        <w:pStyle w:val="Heading1"/>
      </w:pPr>
      <w:r>
        <w:t xml:space="preserve">Sales Report: Medical Researcher Service Performance Analysis for Japan Kyoto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Pharma Innovations Inc.</w:t>
      </w:r>
      <w:r>
        <w:br/>
      </w:r>
      <w:r>
        <w:rPr>
          <w:bCs/>
          <w:b/>
        </w:rPr>
        <w:t xml:space="preserve">Region:</w:t>
      </w:r>
      <w:r>
        <w:t xml:space="preserve"> </w:t>
      </w:r>
      <w:r>
        <w:t xml:space="preserve">Japan Kyoto</w:t>
      </w:r>
    </w:p>
    <w:bookmarkStart w:id="20" w:name="i.-executive-summary"/>
    <w:p>
      <w:pPr>
        <w:pStyle w:val="Heading2"/>
      </w:pPr>
      <w:r>
        <w:t xml:space="preserve">I. Executive Summary</w:t>
      </w:r>
    </w:p>
    <w:p>
      <w:pPr>
        <w:pStyle w:val="FirstParagraph"/>
      </w:pPr>
      <w:r>
        <w:t xml:space="preserve">This report details the sales performance of specialized Medical Researcher services within Kyoto, Japan during Q3 2023. Despite global economic headwinds, our Medical Researcher service portfolio achieved a 17.8% year-over-year revenue growth in the Kyoto market, generating ¥48.7 million (approximately $315,000 USD) in sales. This outperformance was driven by strategic partnerships with Kyoto's premier research institutions and alignment with Japan's national healthcare innovation priorities. The Medical Researcher team—comprising clinical trial specialists, data scientists, and regulatory experts—demonstrated exceptional market adaptation within Kyoto's unique cultural and regulatory landscape.</w:t>
      </w:r>
    </w:p>
    <w:bookmarkEnd w:id="20"/>
    <w:bookmarkStart w:id="21" w:name="X0ef45bad99539e8c69333283655b42ffb4d8c37"/>
    <w:p>
      <w:pPr>
        <w:pStyle w:val="Heading2"/>
      </w:pPr>
      <w:r>
        <w:t xml:space="preserve">II. Kyoto Market Context &amp; Strategic Importance</w:t>
      </w:r>
    </w:p>
    <w:p>
      <w:pPr>
        <w:pStyle w:val="FirstParagraph"/>
      </w:pPr>
      <w:r>
        <w:t xml:space="preserve">Kyoto represents a critical hub for Japan's medical research ecosystem. Home to institutions like Kyoto University Hospital (consistently ranked #1 in Japan for clinical trials), the Center for iPS Cell Research and Application (CiRA), and over 40 biotech startups, Kyoto is prioritized by the Japanese government under its "Society 5.0" initiative. The Medical Researcher service offering directly supports this strategic focus by providing turnkey solutions for complex research projects. Crucially, Kyoto's aging population (26% aged 65+) creates urgent demand for specialized clinical research services targeting geriatric conditions and chronic diseases—a market segment where our Medical Researcher team captured 32% of new contracts in Q3.</w:t>
      </w:r>
    </w:p>
    <w:bookmarkEnd w:id="21"/>
    <w:bookmarkStart w:id="22" w:name="X58a309fc3308f20bea2d0f101f78fefb868b0b5"/>
    <w:p>
      <w:pPr>
        <w:pStyle w:val="Heading2"/>
      </w:pPr>
      <w:r>
        <w:t xml:space="preserve">III. Sales Performance Breakdown: Medical Researcher Service Portfolio</w:t>
      </w:r>
    </w:p>
    <w:p>
      <w:pPr>
        <w:pStyle w:val="FirstParagraph"/>
      </w:pPr>
      <w:r>
        <w:t xml:space="preserve">The following table details revenue generated by core Medical Researcher service lines within Kyoto: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YoY Growth</w:t>
            </w:r>
          </w:p>
        </w:tc>
        <w:tc>
          <w:tcPr/>
          <w:p>
            <w:pPr>
              <w:pStyle w:val="Compact"/>
              <w:jc w:val="left"/>
            </w:pPr>
            <w:r>
              <w:t xml:space="preserve">Key Kyoto Clients/Partnerships</w:t>
            </w:r>
          </w:p>
        </w:tc>
      </w:tr>
      <w:tr>
        <w:tc>
          <w:tcPr/>
          <w:p>
            <w:pPr>
              <w:pStyle w:val="Compact"/>
              <w:jc w:val="left"/>
            </w:pPr>
            <w:r>
              <w:t xml:space="preserve">Clinical Trial Management</w:t>
            </w:r>
          </w:p>
        </w:tc>
        <w:tc>
          <w:tcPr/>
          <w:p>
            <w:pPr>
              <w:pStyle w:val="Compact"/>
              <w:jc w:val="left"/>
            </w:pPr>
            <w:r>
              <w:t xml:space="preserve">18,250,000</w:t>
            </w:r>
          </w:p>
        </w:tc>
        <w:tc>
          <w:tcPr/>
          <w:p>
            <w:pPr>
              <w:pStyle w:val="Compact"/>
              <w:jc w:val="left"/>
            </w:pPr>
            <w:r>
              <w:t xml:space="preserve">+22.3%</w:t>
            </w:r>
          </w:p>
        </w:tc>
        <w:tc>
          <w:tcPr/>
          <w:p>
            <w:pPr>
              <w:pStyle w:val="Compact"/>
              <w:jc w:val="left"/>
            </w:pPr>
            <w:r>
              <w:t xml:space="preserve">Kyoto University Hospital (Oncology Study), Shionogi &amp; Co.</w:t>
            </w:r>
          </w:p>
        </w:tc>
      </w:tr>
      <w:tr>
        <w:tc>
          <w:tcPr/>
          <w:p>
            <w:pPr>
              <w:pStyle w:val="Compact"/>
              <w:jc w:val="left"/>
            </w:pPr>
            <w:r>
              <w:t xml:space="preserve">Real-World Data Analytics</w:t>
            </w:r>
          </w:p>
        </w:tc>
        <w:tc>
          <w:tcPr/>
          <w:p>
            <w:pPr>
              <w:pStyle w:val="Compact"/>
              <w:jc w:val="left"/>
            </w:pPr>
            <w:r>
              <w:t xml:space="preserve">14,675,000</w:t>
            </w:r>
          </w:p>
        </w:tc>
        <w:tc>
          <w:tcPr/>
          <w:p>
            <w:pPr>
              <w:pStyle w:val="Compact"/>
              <w:jc w:val="left"/>
            </w:pPr>
            <w:r>
              <w:t xml:space="preserve">+19.6%</w:t>
            </w:r>
          </w:p>
        </w:tc>
        <w:tc>
          <w:tcPr/>
          <w:p>
            <w:pPr>
              <w:pStyle w:val="Compact"/>
              <w:jc w:val="left"/>
            </w:pPr>
            <w:r>
              <w:t xml:space="preserve">National Center for Geriatrics (Kyoto)</w:t>
            </w:r>
          </w:p>
        </w:tc>
      </w:tr>
      <w:tr>
        <w:tc>
          <w:tcPr/>
          <w:p>
            <w:pPr>
              <w:pStyle w:val="Compact"/>
              <w:jc w:val="left"/>
            </w:pPr>
            <w:r>
              <w:t xml:space="preserve">Regulatory Strategy Consulting</w:t>
            </w:r>
          </w:p>
        </w:tc>
        <w:tc>
          <w:tcPr/>
          <w:p>
            <w:pPr>
              <w:pStyle w:val="Compact"/>
              <w:jc w:val="left"/>
            </w:pPr>
            <w:r>
              <w:t xml:space="preserve">8,925,000</w:t>
            </w:r>
          </w:p>
        </w:tc>
        <w:tc>
          <w:tcPr/>
          <w:p>
            <w:pPr>
              <w:pStyle w:val="Compact"/>
              <w:jc w:val="left"/>
            </w:pPr>
            <w:r>
              <w:t xml:space="preserve">+14.1%</w:t>
            </w:r>
          </w:p>
        </w:tc>
        <w:tc>
          <w:tcPr/>
          <w:p>
            <w:pPr>
              <w:pStyle w:val="Compact"/>
              <w:jc w:val="left"/>
            </w:pPr>
            <w:r>
              <w:t xml:space="preserve">Takeda Pharmaceuticals (Kyoto Office), Otsuka Pharma</w:t>
            </w:r>
          </w:p>
        </w:tc>
      </w:tr>
      <w:tr>
        <w:tc>
          <w:tcPr/>
          <w:p>
            <w:pPr>
              <w:pStyle w:val="Compact"/>
              <w:jc w:val="left"/>
            </w:pPr>
            <w:r>
              <w:t xml:space="preserve">Multilingual Research Coordination</w:t>
            </w:r>
          </w:p>
        </w:tc>
        <w:tc>
          <w:tcPr/>
          <w:p>
            <w:pPr>
              <w:pStyle w:val="Compact"/>
              <w:jc w:val="left"/>
            </w:pPr>
            <w:r>
              <w:t xml:space="preserve">6,850,000</w:t>
            </w:r>
          </w:p>
        </w:tc>
        <w:tc>
          <w:tcPr/>
          <w:p>
            <w:pPr>
              <w:pStyle w:val="Compact"/>
              <w:jc w:val="left"/>
            </w:pPr>
            <w:r>
              <w:t xml:space="preserve">+28.7%</w:t>
            </w:r>
          </w:p>
        </w:tc>
        <w:tc>
          <w:tcPr/>
          <w:p>
            <w:pPr>
              <w:pStyle w:val="Compact"/>
              <w:jc w:val="left"/>
            </w:pPr>
            <w:r>
              <w:t xml:space="preserve">Kyoto Prefectural Government Health Initiative</w:t>
            </w:r>
          </w:p>
        </w:tc>
      </w:tr>
    </w:tbl>
    <w:p>
      <w:pPr>
        <w:pStyle w:val="BodyText"/>
      </w:pPr>
      <w:r>
        <w:t xml:space="preserve">Key drivers of success included:</w:t>
      </w:r>
    </w:p>
    <w:p>
      <w:pPr>
        <w:numPr>
          <w:ilvl w:val="0"/>
          <w:numId w:val="1001"/>
        </w:numPr>
        <w:pStyle w:val="Compact"/>
      </w:pPr>
      <w:r>
        <w:rPr>
          <w:bCs/>
          <w:b/>
        </w:rPr>
        <w:t xml:space="preserve">Cultural Integration:</w:t>
      </w:r>
      <w:r>
        <w:t xml:space="preserve"> </w:t>
      </w:r>
      <w:r>
        <w:t xml:space="preserve">Medical Researchers underwent Kyoto-specific cultural training, enabling effective collaboration with local institutions where "wa" (harmony) in business relationships is paramount. This reduced onboarding time by 35%.</w:t>
      </w:r>
    </w:p>
    <w:p>
      <w:pPr>
        <w:numPr>
          <w:ilvl w:val="0"/>
          <w:numId w:val="1001"/>
        </w:numPr>
        <w:pStyle w:val="Compact"/>
      </w:pPr>
      <w:r>
        <w:rPr>
          <w:bCs/>
          <w:b/>
        </w:rPr>
        <w:t xml:space="preserve">Regulatory Expertise:</w:t>
      </w:r>
      <w:r>
        <w:t xml:space="preserve"> </w:t>
      </w:r>
      <w:r>
        <w:t xml:space="preserve">Our Medical Researcher team's deep knowledge of Japan's PMDA (Pharmaceuticals and Medical Devices Agency) requirements accelerated trial approvals by an average of 22 days.</w:t>
      </w:r>
    </w:p>
    <w:p>
      <w:pPr>
        <w:numPr>
          <w:ilvl w:val="0"/>
          <w:numId w:val="1001"/>
        </w:numPr>
        <w:pStyle w:val="Compact"/>
      </w:pPr>
      <w:r>
        <w:rPr>
          <w:bCs/>
          <w:b/>
        </w:rPr>
        <w:t xml:space="preserve">Localized Solutions:</w:t>
      </w:r>
      <w:r>
        <w:t xml:space="preserve"> </w:t>
      </w:r>
      <w:r>
        <w:t xml:space="preserve">Developed a specialized "Kyoto Health Data Dashboard" for geriatric research, directly addressing the region's demographic challenges.</w:t>
      </w:r>
    </w:p>
    <w:bookmarkEnd w:id="22"/>
    <w:bookmarkStart w:id="23" w:name="X5f756469adf0b6a3d047c246262e71810306510"/>
    <w:p>
      <w:pPr>
        <w:pStyle w:val="Heading2"/>
      </w:pPr>
      <w:r>
        <w:t xml:space="preserve">IV. Competitive Landscape &amp; Differentiation</w:t>
      </w:r>
    </w:p>
    <w:p>
      <w:pPr>
        <w:pStyle w:val="FirstParagraph"/>
      </w:pPr>
      <w:r>
        <w:t xml:space="preserve">The Kyoto medical research services market is highly competitive, with 12 major domestic and international players. Our Medical Researcher team differentiated through:</w:t>
      </w:r>
    </w:p>
    <w:p>
      <w:pPr>
        <w:numPr>
          <w:ilvl w:val="0"/>
          <w:numId w:val="1002"/>
        </w:numPr>
        <w:pStyle w:val="Compact"/>
      </w:pPr>
      <w:r>
        <w:rPr>
          <w:bCs/>
          <w:b/>
        </w:rPr>
        <w:t xml:space="preserve">Hyper-Local Expertise:</w:t>
      </w:r>
      <w:r>
        <w:t xml:space="preserve"> </w:t>
      </w:r>
      <w:r>
        <w:t xml:space="preserve">85% of Medical Researchers assigned to Kyoto have lived in Japan for &gt;3 years, understanding nuanced communication styles (e.g., preference for indirect feedback during meetings).</w:t>
      </w:r>
    </w:p>
    <w:p>
      <w:pPr>
        <w:numPr>
          <w:ilvl w:val="0"/>
          <w:numId w:val="1002"/>
        </w:numPr>
        <w:pStyle w:val="Compact"/>
      </w:pPr>
      <w:r>
        <w:rPr>
          <w:bCs/>
          <w:b/>
        </w:rPr>
        <w:t xml:space="preserve">National Policy Alignment:</w:t>
      </w:r>
      <w:r>
        <w:t xml:space="preserve"> </w:t>
      </w:r>
      <w:r>
        <w:t xml:space="preserve">Direct support for Japan's "Healthcare Revolution" policy, with projects certified under the Ministry of Health's "Innovation Hub" program—gaining preferential vendor status.</w:t>
      </w:r>
    </w:p>
    <w:p>
      <w:pPr>
        <w:numPr>
          <w:ilvl w:val="0"/>
          <w:numId w:val="1002"/>
        </w:numPr>
        <w:pStyle w:val="Compact"/>
      </w:pPr>
      <w:r>
        <w:rPr>
          <w:bCs/>
          <w:b/>
        </w:rPr>
        <w:t xml:space="preserve">Sustainability Focus:</w:t>
      </w:r>
      <w:r>
        <w:t xml:space="preserve"> </w:t>
      </w:r>
      <w:r>
        <w:t xml:space="preserve">Kyoto-based Medical Researchers integrated ESG principles into trial design (e.g., reducing carbon footprint in patient recruitment), aligning with Kyoto Prefecture's "Carbon Neutral by 2030" initiative.</w:t>
      </w:r>
    </w:p>
    <w:bookmarkEnd w:id="23"/>
    <w:bookmarkStart w:id="24" w:name="v.-challenges-mitigation-strategies"/>
    <w:p>
      <w:pPr>
        <w:pStyle w:val="Heading2"/>
      </w:pPr>
      <w:r>
        <w:t xml:space="preserve">V. Challenges &amp; Mitigation Strategies</w:t>
      </w:r>
    </w:p>
    <w:p>
      <w:pPr>
        <w:pStyle w:val="FirstParagraph"/>
      </w:pPr>
      <w:r>
        <w:t xml:space="preserve">Despite strong growth, three challenges emerged:</w:t>
      </w:r>
    </w:p>
    <w:p>
      <w:pPr>
        <w:numPr>
          <w:ilvl w:val="0"/>
          <w:numId w:val="1003"/>
        </w:numPr>
        <w:pStyle w:val="Compact"/>
      </w:pPr>
      <w:r>
        <w:rPr>
          <w:bCs/>
          <w:b/>
        </w:rPr>
        <w:t xml:space="preserve">Cultural Communication Gaps:</w:t>
      </w:r>
      <w:r>
        <w:t xml:space="preserve"> </w:t>
      </w:r>
      <w:r>
        <w:t xml:space="preserve">Initial misalignment during trial protocol discussions with Kyoto University researchers due to differing communication norms. *Mitigation:* Implemented mandatory "Cultural Fluency" modules for all Medical Researchers (reducing misunderstandings by 60% in Q4).</w:t>
      </w:r>
    </w:p>
    <w:p>
      <w:pPr>
        <w:numPr>
          <w:ilvl w:val="0"/>
          <w:numId w:val="1003"/>
        </w:numPr>
        <w:pStyle w:val="Compact"/>
      </w:pPr>
      <w:r>
        <w:rPr>
          <w:bCs/>
          <w:b/>
        </w:rPr>
        <w:t xml:space="preserve">Regulatory Complexity:</w:t>
      </w:r>
      <w:r>
        <w:t xml:space="preserve"> </w:t>
      </w:r>
      <w:r>
        <w:t xml:space="preserve">New PMDA guidelines on digital health data. *Mitigation:* Medical Researcher team co-developed a Kyoto-specific compliance toolkit with Japan's Pharmaceutical Manufacturers Association.</w:t>
      </w:r>
    </w:p>
    <w:p>
      <w:pPr>
        <w:numPr>
          <w:ilvl w:val="0"/>
          <w:numId w:val="1003"/>
        </w:numPr>
        <w:pStyle w:val="Compact"/>
      </w:pPr>
      <w:r>
        <w:rPr>
          <w:bCs/>
          <w:b/>
        </w:rPr>
        <w:t xml:space="preserve">Talent Retention:</w:t>
      </w:r>
      <w:r>
        <w:t xml:space="preserve"> </w:t>
      </w:r>
      <w:r>
        <w:t xml:space="preserve">High demand for specialized researchers in Kyoto. *Mitigation:* Launched "Kyoto Researcher Fellowship" offering Japanese language training and local community engagement—reducing turnover by 45%.</w:t>
      </w:r>
    </w:p>
    <w:bookmarkEnd w:id="24"/>
    <w:bookmarkStart w:id="25" w:name="X6e031b4e09b35aa2dc2c3dd6e5a1bdbad6434fe"/>
    <w:p>
      <w:pPr>
        <w:pStyle w:val="Heading2"/>
      </w:pPr>
      <w:r>
        <w:t xml:space="preserve">VI. Future Outlook &amp; Strategic Recommendations</w:t>
      </w:r>
    </w:p>
    <w:p>
      <w:pPr>
        <w:pStyle w:val="FirstParagraph"/>
      </w:pPr>
      <w:r>
        <w:t xml:space="preserve">Kyoto's market presents significant expansion potential. Based on Q3 data, we project 25% YoY growth for Medical Researcher services in Kyoto through 2024, driven by:</w:t>
      </w:r>
    </w:p>
    <w:p>
      <w:pPr>
        <w:numPr>
          <w:ilvl w:val="0"/>
          <w:numId w:val="1004"/>
        </w:numPr>
        <w:pStyle w:val="Compact"/>
      </w:pPr>
      <w:r>
        <w:t xml:space="preserve">Government funding for "Kyoto Biomedical Innovation Zone" (¥18 billion allocation).</w:t>
      </w:r>
    </w:p>
    <w:p>
      <w:pPr>
        <w:numPr>
          <w:ilvl w:val="0"/>
          <w:numId w:val="1004"/>
        </w:numPr>
        <w:pStyle w:val="Compact"/>
      </w:pPr>
      <w:r>
        <w:t xml:space="preserve">Increasing clinical trials in neurodegenerative diseases (linked to Kyoto's high elderly population).</w:t>
      </w:r>
    </w:p>
    <w:p>
      <w:pPr>
        <w:numPr>
          <w:ilvl w:val="0"/>
          <w:numId w:val="1004"/>
        </w:numPr>
        <w:pStyle w:val="Compact"/>
      </w:pPr>
      <w:r>
        <w:t xml:space="preserve">Growing demand for AI-driven research solutions from Kyoto's 20+ biotech firms.</w:t>
      </w:r>
    </w:p>
    <w:p>
      <w:pPr>
        <w:pStyle w:val="FirstParagraph"/>
      </w:pPr>
      <w:r>
        <w:rPr>
          <w:bCs/>
          <w:b/>
        </w:rPr>
        <w:t xml:space="preserve">Recommendations:</w:t>
      </w:r>
    </w:p>
    <w:p>
      <w:pPr>
        <w:numPr>
          <w:ilvl w:val="0"/>
          <w:numId w:val="1005"/>
        </w:numPr>
        <w:pStyle w:val="Compact"/>
      </w:pPr>
      <w:r>
        <w:rPr>
          <w:bCs/>
          <w:b/>
        </w:rPr>
        <w:t xml:space="preserve">Expand "Kyoto Researcher" Specialization:</w:t>
      </w:r>
      <w:r>
        <w:t xml:space="preserve"> </w:t>
      </w:r>
      <w:r>
        <w:t xml:space="preserve">Create a dedicated Medical Researcher track focused exclusively on Kyoto’s regulatory and cultural ecosystem, with 100% Japanese-language proficiency required.</w:t>
      </w:r>
    </w:p>
    <w:p>
      <w:pPr>
        <w:numPr>
          <w:ilvl w:val="0"/>
          <w:numId w:val="1005"/>
        </w:numPr>
        <w:pStyle w:val="Compact"/>
      </w:pPr>
      <w:r>
        <w:rPr>
          <w:bCs/>
          <w:b/>
        </w:rPr>
        <w:t xml:space="preserve">Leverage Kyoto's Academic Network:</w:t>
      </w:r>
      <w:r>
        <w:t xml:space="preserve"> </w:t>
      </w:r>
      <w:r>
        <w:t xml:space="preserve">Partner with Kyoto University to co-design a medical research certification program, positioning our Medical Researchers as "Kyoto-Approved" specialists.</w:t>
      </w:r>
    </w:p>
    <w:p>
      <w:pPr>
        <w:numPr>
          <w:ilvl w:val="0"/>
          <w:numId w:val="1005"/>
        </w:numPr>
        <w:pStyle w:val="Compact"/>
      </w:pPr>
      <w:r>
        <w:rPr>
          <w:bCs/>
          <w:b/>
        </w:rPr>
        <w:t xml:space="preserve">Develop AI-Powered Service Suite:</w:t>
      </w:r>
      <w:r>
        <w:t xml:space="preserve"> </w:t>
      </w:r>
      <w:r>
        <w:t xml:space="preserve">Integrate predictive analytics into our Clinical Trial Management service for faster patient recruitment in Kyoto's geriatric focus areas (e.g., Alzheimer's studies).</w:t>
      </w:r>
    </w:p>
    <w:bookmarkEnd w:id="25"/>
    <w:bookmarkStart w:id="26" w:name="vii.-conclusion"/>
    <w:p>
      <w:pPr>
        <w:pStyle w:val="Heading2"/>
      </w:pPr>
      <w:r>
        <w:t xml:space="preserve">VII. Conclusion</w:t>
      </w:r>
    </w:p>
    <w:p>
      <w:pPr>
        <w:pStyle w:val="FirstParagraph"/>
      </w:pPr>
      <w:r>
        <w:t xml:space="preserve">The Medical Researcher service portfolio has proven instrumental in capturing market share within Japan Kyoto, demonstrating that specialized research talent—when deeply embedded in local context—delivers exceptional commercial results. Our success stems from understanding that Kyoto's medical advancement isn't merely about technology, but about harmonizing innovation with Japan's cultural ethos and healthcare priorities. The Medical Researcher team’s performance this quarter validates our investment in hyper-local expertise, making Kyoto a model for our global service expansion. We recommend scaling these strategies across all Japanese regional offices to leverage the same cultural intelligence that made our Kyoto operations 17.8% above regional average.</w:t>
      </w:r>
    </w:p>
    <w:p>
      <w:pPr>
        <w:pStyle w:val="BodyText"/>
      </w:pPr>
      <w:r>
        <w:rPr>
          <w:bCs/>
          <w:b/>
        </w:rPr>
        <w:t xml:space="preserve">Prepared By:</w:t>
      </w:r>
      <w:r>
        <w:t xml:space="preserve"> </w:t>
      </w:r>
      <w:r>
        <w:t xml:space="preserve">Global Sales Intelligence Unit</w:t>
      </w:r>
      <w:r>
        <w:br/>
      </w:r>
      <w:r>
        <w:rPr>
          <w:bCs/>
          <w:b/>
        </w:rPr>
        <w:t xml:space="preserve">Contact:</w:t>
      </w:r>
      <w:r>
        <w:t xml:space="preserve"> </w:t>
      </w:r>
      <w:r>
        <w:t xml:space="preserve">sales.intelligence@pharma-innovations.com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Services in Japan Kyoto</dc:title>
  <dc:creator/>
  <cp:keywords/>
  <dcterms:created xsi:type="dcterms:W3CDTF">2026-07-24T13:23:39Z</dcterms:created>
  <dcterms:modified xsi:type="dcterms:W3CDTF">2026-07-24T13:23:39Z</dcterms:modified>
</cp:coreProperties>
</file>

<file path=docProps/custom.xml><?xml version="1.0" encoding="utf-8"?>
<Properties xmlns="http://schemas.openxmlformats.org/officeDocument/2006/custom-properties" xmlns:vt="http://schemas.openxmlformats.org/officeDocument/2006/docPropsVTypes"/>
</file>