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8" w:name="Xecbcae2ea5107042ede7b0410177ba8b60da1fc"/>
    <w:p>
      <w:pPr>
        <w:pStyle w:val="Heading1"/>
      </w:pPr>
      <w:r>
        <w:t xml:space="preserve">Sales Performance Report for Medical Researcher Role in Japan Osaka</w:t>
      </w:r>
    </w:p>
    <w:p>
      <w:pPr>
        <w:pStyle w:val="FirstParagraph"/>
      </w:pPr>
      <w:r>
        <w:t xml:space="preserve">Prepared for Osaka Regional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dedicated Medical Researcher in the Osaka market, a critical hub for pharmaceutical innovation in Japan. The role has significantly driven revenue growth through scientific expertise, client engagement, and strategic market penetration. In Q3 2023 alone, the Medical Researcher contributed to a 37% year-over-year increase in contract renewals and secured three major new accounts totaling ¥185 million in annual value. This report validates Osaka's position as Japan's most productive medical research sales territory under our current operational model.</w:t>
      </w:r>
    </w:p>
    <w:bookmarkEnd w:id="20"/>
    <w:bookmarkStart w:id="21" w:name="Xbddebea2d37517e79e099d413498460c5d63168"/>
    <w:p>
      <w:pPr>
        <w:pStyle w:val="Heading2"/>
      </w:pPr>
      <w:r>
        <w:t xml:space="preserve">Market Context: Why Osaka Matters for Medical Research Sales</w:t>
      </w:r>
    </w:p>
    <w:p>
      <w:pPr>
        <w:pStyle w:val="FirstParagraph"/>
      </w:pPr>
      <w:r>
        <w:t xml:space="preserve">Osaka represents a $12.8 billion medical research market within Japan, accounting for 34% of national pharmaceutical R&amp;D spending. As the country's second-largest metropolitan area and home to the Kansai Science City innovation cluster, Osaka hosts 57% of Japan's top-tier research hospitals (including Osaka University Medical School and Kyoto Prefectural University) and 12 major biotech firms. The strategic importance of our Medical Researcher role in this ecosystem cannot be overstated – their scientific credibility directly influences procurement decisions at institutions managing ¥32 billion in annual clinical trial budgets.</w:t>
      </w:r>
    </w:p>
    <w:bookmarkEnd w:id="21"/>
    <w:bookmarkStart w:id="22" w:name="X2aadaeaf622aa38c3d9ca17a4112f186263b686"/>
    <w:p>
      <w:pPr>
        <w:pStyle w:val="Heading2"/>
      </w:pPr>
      <w:r>
        <w:t xml:space="preserve">Medical Researcher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Institutional Contracts (Osaka)</w:t>
            </w:r>
          </w:p>
        </w:tc>
        <w:tc>
          <w:tcPr/>
          <w:p>
            <w:pPr>
              <w:pStyle w:val="Compact"/>
              <w:jc w:val="left"/>
            </w:pPr>
            <w:r>
              <w:t xml:space="preserve">3</w:t>
            </w:r>
          </w:p>
        </w:tc>
        <w:tc>
          <w:tcPr/>
          <w:p>
            <w:pPr>
              <w:pStyle w:val="Compact"/>
              <w:jc w:val="left"/>
            </w:pPr>
            <w:r>
              <w:t xml:space="preserve">1</w:t>
            </w:r>
          </w:p>
        </w:tc>
        <w:tc>
          <w:tcPr/>
          <w:p>
            <w:pPr>
              <w:pStyle w:val="Compact"/>
              <w:jc w:val="left"/>
            </w:pPr>
            <w:r>
              <w:t xml:space="preserve">+200%</w:t>
            </w:r>
          </w:p>
        </w:tc>
      </w:tr>
      <w:tr>
        <w:tc>
          <w:tcPr/>
          <w:p>
            <w:pPr>
              <w:pStyle w:val="Compact"/>
              <w:jc w:val="left"/>
            </w:pPr>
            <w:r>
              <w:t xml:space="preserve">Contract Renewal Rate</w:t>
            </w:r>
          </w:p>
        </w:tc>
        <w:tc>
          <w:tcPr/>
          <w:p>
            <w:pPr>
              <w:pStyle w:val="Compact"/>
              <w:jc w:val="left"/>
            </w:pPr>
            <w:r>
              <w:t xml:space="preserve">87%</w:t>
            </w:r>
          </w:p>
        </w:tc>
        <w:tc>
          <w:tcPr/>
          <w:p>
            <w:pPr>
              <w:pStyle w:val="Compact"/>
              <w:jc w:val="left"/>
            </w:pPr>
            <w:r>
              <w:t xml:space="preserve">74%</w:t>
            </w:r>
          </w:p>
        </w:tc>
        <w:tc>
          <w:tcPr/>
          <w:p>
            <w:pPr>
              <w:pStyle w:val="Compact"/>
              <w:jc w:val="left"/>
            </w:pPr>
            <w:r>
              <w:t xml:space="preserve">+13pp</w:t>
            </w:r>
          </w:p>
        </w:tc>
      </w:tr>
      <w:tr>
        <w:tc>
          <w:tcPr/>
          <w:p>
            <w:pPr>
              <w:pStyle w:val="Compact"/>
              <w:jc w:val="left"/>
            </w:pPr>
            <w:r>
              <w:t xml:space="preserve">Clinical Trial Service Revenue</w:t>
            </w:r>
          </w:p>
        </w:tc>
        <w:tc>
          <w:tcPr/>
          <w:p>
            <w:pPr>
              <w:pStyle w:val="Compact"/>
              <w:jc w:val="left"/>
            </w:pPr>
            <w:r>
              <w:t xml:space="preserve">¥128.5M</w:t>
            </w:r>
          </w:p>
        </w:tc>
        <w:tc>
          <w:tcPr/>
          <w:p>
            <w:pPr>
              <w:pStyle w:val="Compact"/>
              <w:jc w:val="left"/>
            </w:pPr>
            <w:r>
              <w:t xml:space="preserve">¥94.2M</w:t>
            </w:r>
          </w:p>
        </w:tc>
        <w:tc>
          <w:tcPr/>
          <w:p>
            <w:pPr>
              <w:pStyle w:val="Compact"/>
              <w:jc w:val="left"/>
            </w:pPr>
            <w:r>
              <w:t xml:space="preserve">+36.4%</w:t>
            </w:r>
          </w:p>
        </w:tc>
      </w:tr>
      <w:tr>
        <w:tc>
          <w:tcPr/>
          <w:p>
            <w:pPr>
              <w:pStyle w:val="Compact"/>
              <w:jc w:val="left"/>
            </w:pPr>
            <w:r>
              <w:t xml:space="preserve">Scientific Consultation Requests Handled</w:t>
            </w:r>
          </w:p>
        </w:tc>
        <w:tc>
          <w:tcPr/>
          <w:p>
            <w:pPr>
              <w:pStyle w:val="Compact"/>
              <w:jc w:val="left"/>
            </w:pPr>
            <w:r>
              <w:t xml:space="preserve">47</w:t>
            </w:r>
          </w:p>
        </w:tc>
        <w:tc>
          <w:tcPr/>
          <w:p>
            <w:pPr>
              <w:pStyle w:val="Compact"/>
              <w:jc w:val="left"/>
            </w:pPr>
            <w:r>
              <w:t xml:space="preserve">29</w:t>
            </w:r>
          </w:p>
        </w:tc>
        <w:tc>
          <w:tcPr/>
          <w:p>
            <w:pPr>
              <w:pStyle w:val="Compact"/>
              <w:jc w:val="left"/>
            </w:pPr>
            <w:r>
              <w:t xml:space="preserve">+62.1%</w:t>
            </w:r>
          </w:p>
        </w:tc>
      </w:tr>
    </w:tbl>
    <w:bookmarkEnd w:id="22"/>
    <w:bookmarkStart w:id="23" w:name="Xa7391ecc340961ab93773867e49e675e5196ebf"/>
    <w:p>
      <w:pPr>
        <w:pStyle w:val="Heading2"/>
      </w:pPr>
      <w:r>
        <w:t xml:space="preserve">Strategic Impact of the Medical Researcher Role</w:t>
      </w:r>
    </w:p>
    <w:p>
      <w:pPr>
        <w:pStyle w:val="FirstParagraph"/>
      </w:pPr>
      <w:r>
        <w:t xml:space="preserve">The Medical Researcher in Osaka operates at the unique intersection of science and sales, serving as our primary scientific liaison. Unlike traditional sales personnel, their PhD-level expertise (specializing in oncology and molecular diagnostics) enables them to:</w:t>
      </w:r>
    </w:p>
    <w:p>
      <w:pPr>
        <w:numPr>
          <w:ilvl w:val="0"/>
          <w:numId w:val="1001"/>
        </w:numPr>
        <w:pStyle w:val="Compact"/>
      </w:pPr>
      <w:r>
        <w:rPr>
          <w:bCs/>
          <w:b/>
        </w:rPr>
        <w:t xml:space="preserve">Build Credibility</w:t>
      </w:r>
      <w:r>
        <w:t xml:space="preserve">: Overcoming initial skepticism at institutions like Osaka City Medical Center by presenting peer-reviewed data on our AI-driven trial platforms during technical workshops</w:t>
      </w:r>
    </w:p>
    <w:p>
      <w:pPr>
        <w:numPr>
          <w:ilvl w:val="0"/>
          <w:numId w:val="1001"/>
        </w:numPr>
        <w:pStyle w:val="Compact"/>
      </w:pPr>
      <w:r>
        <w:rPr>
          <w:bCs/>
          <w:b/>
        </w:rPr>
        <w:t xml:space="preserve">Solve Complex Pain Points</w:t>
      </w:r>
      <w:r>
        <w:t xml:space="preserve">: Designing customized solutions for 12 clinical trials (e.g., adapting genomic analysis protocols for Osaka's elderly population demographics)</w:t>
      </w:r>
    </w:p>
    <w:p>
      <w:pPr>
        <w:numPr>
          <w:ilvl w:val="0"/>
          <w:numId w:val="1001"/>
        </w:numPr>
        <w:pStyle w:val="Compact"/>
      </w:pPr>
      <w:r>
        <w:rPr>
          <w:bCs/>
          <w:b/>
        </w:rPr>
        <w:t xml:space="preserve">Accelerate Sales Cycles</w:t>
      </w:r>
      <w:r>
        <w:t xml:space="preserve">: Reducing average deal time from 180 to 97 days through scientific validation rather than price negotiation</w:t>
      </w:r>
    </w:p>
    <w:p>
      <w:pPr>
        <w:pStyle w:val="FirstParagraph"/>
      </w:pPr>
      <w:r>
        <w:t xml:space="preserve">A key example involved the Kansai Cancer Institute. Our Medical Researcher identified a gap in their immunotherapy trial data management and demonstrated our cloud platform's compliance with Japan's PMDA (Pharmaceuticals and Medical Devices Agency) guidelines – securing a ¥72M contract that included 3 years of maintenance services.</w:t>
      </w:r>
    </w:p>
    <w:bookmarkEnd w:id="23"/>
    <w:bookmarkStart w:id="24" w:name="osaka-specific-market-dynamics"/>
    <w:p>
      <w:pPr>
        <w:pStyle w:val="Heading2"/>
      </w:pPr>
      <w:r>
        <w:t xml:space="preserve">Osaka-Specific Market Dynamics</w:t>
      </w:r>
    </w:p>
    <w:p>
      <w:pPr>
        <w:pStyle w:val="FirstParagraph"/>
      </w:pPr>
      <w:r>
        <w:t xml:space="preserve">Operating in Osaka requires nuanced cultural and regulatory adaptation:</w:t>
      </w:r>
    </w:p>
    <w:p>
      <w:pPr>
        <w:numPr>
          <w:ilvl w:val="0"/>
          <w:numId w:val="1002"/>
        </w:numPr>
        <w:pStyle w:val="Compact"/>
      </w:pPr>
      <w:r>
        <w:rPr>
          <w:bCs/>
          <w:b/>
        </w:rPr>
        <w:t xml:space="preserve">Cultural Nuances</w:t>
      </w:r>
      <w:r>
        <w:t xml:space="preserve">: The Medical Researcher implemented "kaizen" (continuous improvement) meetings with Osaka hospitals, aligning sales conversations with Japanese business philosophy of long-term relationship building over transactional deals.</w:t>
      </w:r>
    </w:p>
    <w:p>
      <w:pPr>
        <w:numPr>
          <w:ilvl w:val="0"/>
          <w:numId w:val="1002"/>
        </w:numPr>
        <w:pStyle w:val="Compact"/>
      </w:pPr>
      <w:r>
        <w:rPr>
          <w:bCs/>
          <w:b/>
        </w:rPr>
        <w:t xml:space="preserve">Regulatory Navigation</w:t>
      </w:r>
      <w:r>
        <w:t xml:space="preserve">: They successfully navigated the 2023 revision of Japan's Clinical Trials Act by providing real-time regulatory updates to sales teams – preventing 11 potential contract delays.</w:t>
      </w:r>
    </w:p>
    <w:p>
      <w:pPr>
        <w:numPr>
          <w:ilvl w:val="0"/>
          <w:numId w:val="1002"/>
        </w:numPr>
        <w:pStyle w:val="Compact"/>
      </w:pPr>
      <w:r>
        <w:rPr>
          <w:bCs/>
          <w:b/>
        </w:rPr>
        <w:t xml:space="preserve">Competitive Landscape</w:t>
      </w:r>
      <w:r>
        <w:t xml:space="preserve">: Outperformed European competitors (e.g., BioInnovate Tokyo) through localized scientific content; developed a bilingual (Japanese/English) case study library showing 32% higher client engagement rates.</w:t>
      </w:r>
    </w:p>
    <w:bookmarkEnd w:id="24"/>
    <w:bookmarkStart w:id="25" w:name="challenges-and-strategic-solutions"/>
    <w:p>
      <w:pPr>
        <w:pStyle w:val="Heading2"/>
      </w:pPr>
      <w:r>
        <w:t xml:space="preserve">Challenges and Strategic Solutions</w:t>
      </w:r>
    </w:p>
    <w:p>
      <w:pPr>
        <w:pStyle w:val="FirstParagraph"/>
      </w:pPr>
      <w:r>
        <w:t xml:space="preserve">Despite strong results, Osaka presented unique hurdles:</w:t>
      </w:r>
    </w:p>
    <w:p>
      <w:pPr>
        <w:numPr>
          <w:ilvl w:val="0"/>
          <w:numId w:val="1003"/>
        </w:numPr>
        <w:pStyle w:val="Compact"/>
      </w:pPr>
      <w:r>
        <w:rPr>
          <w:bCs/>
          <w:b/>
        </w:rPr>
        <w:t xml:space="preserve">Challenge</w:t>
      </w:r>
      <w:r>
        <w:t xml:space="preserve">: Language barriers in technical discussions with non-English-speaking research leads at Osaka Women's University Hospital.</w:t>
      </w:r>
    </w:p>
    <w:p>
      <w:pPr>
        <w:numPr>
          <w:ilvl w:val="0"/>
          <w:numId w:val="1003"/>
        </w:numPr>
        <w:pStyle w:val="Compact"/>
      </w:pPr>
      <w:r>
        <w:rPr>
          <w:bCs/>
          <w:b/>
        </w:rPr>
        <w:t xml:space="preserve">Solution</w:t>
      </w:r>
      <w:r>
        <w:t xml:space="preserve">: The Medical Researcher collaborated with local university partners to co-create a Japanese-language technical glossary, reducing miscommunication by 76% and enabling direct client consultations.</w:t>
      </w:r>
    </w:p>
    <w:p>
      <w:pPr>
        <w:pStyle w:val="FirstParagraph"/>
      </w:pPr>
      <w:r>
        <w:t xml:space="preserve">Another critical issue was adapting to Osaka's "wa" (harmony) business culture. The Medical Researcher initiated quarterly joint research planning sessions with key clients' R&amp;D departments – transforming sales interactions into collaborative innovation forums, which directly contributed to the 87% renewal rate.</w:t>
      </w:r>
    </w:p>
    <w:bookmarkEnd w:id="25"/>
    <w:bookmarkStart w:id="26" w:name="future-growth-strategy-for-japan-osaka"/>
    <w:p>
      <w:pPr>
        <w:pStyle w:val="Heading2"/>
      </w:pPr>
      <w:r>
        <w:t xml:space="preserve">Future Growth Strategy for Japan Osaka</w:t>
      </w:r>
    </w:p>
    <w:p>
      <w:pPr>
        <w:pStyle w:val="FirstParagraph"/>
      </w:pPr>
      <w:r>
        <w:t xml:space="preserve">Building on Q3's success, we propose three initiatives leveraging the Medical Researcher role:</w:t>
      </w:r>
    </w:p>
    <w:p>
      <w:pPr>
        <w:numPr>
          <w:ilvl w:val="0"/>
          <w:numId w:val="1004"/>
        </w:numPr>
        <w:pStyle w:val="Compact"/>
      </w:pPr>
      <w:r>
        <w:rPr>
          <w:bCs/>
          <w:b/>
        </w:rPr>
        <w:t xml:space="preserve">Osaka Innovation Hub Development</w:t>
      </w:r>
      <w:r>
        <w:t xml:space="preserve">: Establish a dedicated R&amp;D collaboration space at Kansai Science City with our Medical Researcher as lead facilitator, targeting 5 new academic partnerships by Q2 2024.</w:t>
      </w:r>
    </w:p>
    <w:p>
      <w:pPr>
        <w:numPr>
          <w:ilvl w:val="0"/>
          <w:numId w:val="1004"/>
        </w:numPr>
        <w:pStyle w:val="Compact"/>
      </w:pPr>
      <w:r>
        <w:rPr>
          <w:bCs/>
          <w:b/>
        </w:rPr>
        <w:t xml:space="preserve">Regulatory Intelligence Program</w:t>
      </w:r>
      <w:r>
        <w:t xml:space="preserve">: Create Osaka-specific compliance dashboards (led by the Medical Researcher) to preemptively address PMDA changes, projected to reduce sales delays by 40%.</w:t>
      </w:r>
    </w:p>
    <w:p>
      <w:pPr>
        <w:numPr>
          <w:ilvl w:val="0"/>
          <w:numId w:val="1004"/>
        </w:numPr>
        <w:pStyle w:val="Compact"/>
      </w:pPr>
      <w:r>
        <w:rPr>
          <w:bCs/>
          <w:b/>
        </w:rPr>
        <w:t xml:space="preserve">Talent Pipeline Development</w:t>
      </w:r>
      <w:r>
        <w:t xml:space="preserve">: Launch a "Medical Researcher Apprenticeship" program with Osaka University, creating local talent for our sales science team while strengthening community ties.</w:t>
      </w:r>
    </w:p>
    <w:bookmarkEnd w:id="26"/>
    <w:bookmarkStart w:id="27" w:name="X2f0e246d5436f331a7766a52785b93ae1055081"/>
    <w:p>
      <w:pPr>
        <w:pStyle w:val="Heading2"/>
      </w:pPr>
      <w:r>
        <w:t xml:space="preserve">Conclusion: The Non-Negotiable Role in Osaka's Medical Economy</w:t>
      </w:r>
    </w:p>
    <w:p>
      <w:pPr>
        <w:pStyle w:val="FirstParagraph"/>
      </w:pPr>
      <w:r>
        <w:t xml:space="preserve">This Sales Report unequivocally demonstrates that the Medical Researcher is not merely a support role but the strategic engine of our Osaka operations. In a market where scientific credibility outweighs price competition by 63% (per Japan Pharma Insights 2023), our Medical Researcher's technical authority has directly generated ¥185M in new revenue and secured premium client relationships that competitors cannot replicate. As Japan's medical research sector grows at 9.2% annually, the Osaka Medical Researcher position will remain central to our national growth strategy – requiring 100% budget allocation in FY2024.</w:t>
      </w:r>
    </w:p>
    <w:p>
      <w:pPr>
        <w:pStyle w:val="BodyText"/>
      </w:pPr>
      <w:r>
        <w:t xml:space="preserve">"The Medical Researcher transforms technical solutions into trust-based partnerships. In Osaka, where science and commerce intersect at the highest level, this role is our competitive differentiator." – Kenji Tanaka, Regional Sales Director, Japan</w:t>
      </w:r>
    </w:p>
    <w:p>
      <w:pPr>
        <w:pStyle w:val="BodyText"/>
      </w:pPr>
      <w:r>
        <w:t xml:space="preserve">Report End | Prepared by Global Sales Intelligence Division | Confidential for Osaka Leadership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Japan Osaka</dc:title>
  <dc:creator/>
  <cp:keywords/>
  <dcterms:created xsi:type="dcterms:W3CDTF">2026-07-24T12:13:32Z</dcterms:created>
  <dcterms:modified xsi:type="dcterms:W3CDTF">2026-07-24T12:13:32Z</dcterms:modified>
</cp:coreProperties>
</file>

<file path=docProps/custom.xml><?xml version="1.0" encoding="utf-8"?>
<Properties xmlns="http://schemas.openxmlformats.org/officeDocument/2006/custom-properties" xmlns:vt="http://schemas.openxmlformats.org/officeDocument/2006/docPropsVTypes"/>
</file>