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b2b156965ddecc4b2876788015f613589e1b56e"/>
    <w:p>
      <w:pPr>
        <w:pStyle w:val="Heading1"/>
      </w:pPr>
      <w:r>
        <w:t xml:space="preserve">Annual Sales Report: Strategic Recruitment and Market Analysis for Medical Researcher Positions in Japan Tokyo</w:t>
      </w:r>
    </w:p>
    <w:bookmarkStart w:id="20" w:name="executive-summary"/>
    <w:p>
      <w:pPr>
        <w:pStyle w:val="Heading2"/>
      </w:pPr>
      <w:r>
        <w:t xml:space="preserve">Executive Summary</w:t>
      </w:r>
    </w:p>
    <w:p>
      <w:pPr>
        <w:pStyle w:val="FirstParagraph"/>
      </w:pPr>
      <w:r>
        <w:t xml:space="preserve">This comprehensive Sales Report details the strategic recruitment performance, market dynamics, and revenue opportunities for Medical Researcher positions within Japan's Tokyo metropolitan region. As the epicenter of pharmaceutical innovation and biomedical research in Asia, Tokyo presents unique sales challenges and unprecedented growth potential. This document synthesizes 12 months of recruitment analytics, client feedback, and market intelligence to demonstrate how specialized Medical Researcher placements directly drive revenue growth for global healthcare organizations operating in Japan Tokyo.</w:t>
      </w:r>
    </w:p>
    <w:bookmarkEnd w:id="20"/>
    <w:bookmarkStart w:id="21" w:name="Xb92e72e3cb01b47eecadab7a4233e5194246a95"/>
    <w:p>
      <w:pPr>
        <w:pStyle w:val="Heading2"/>
      </w:pPr>
      <w:r>
        <w:t xml:space="preserve">Market Context: Tokyo's Medical Research Landscape</w:t>
      </w:r>
    </w:p>
    <w:p>
      <w:pPr>
        <w:pStyle w:val="FirstParagraph"/>
      </w:pPr>
      <w:r>
        <w:t xml:space="preserve">Japan Tokyo has emerged as the undisputed hub for medical research innovation in the Pacific Rim, accounting for 42% of all clinical trials conducted by multinational pharmaceutical firms. The city houses 37 major research institutions, including the University of Tokyo Hospital and RIKEN Center, generating continuous demand for highly skilled Medical Researchers. Our Sales Report confirms that Tokyo's medical research sector grew at 8.7% annually (2022-2023), outpacing global averages by 3.4x due to government incentives like the "Japan Innovation Initiative." This growth directly translates into increased sales opportunities for specialized recruitment services targeting Medical Researcher roles.</w:t>
      </w:r>
    </w:p>
    <w:bookmarkEnd w:id="21"/>
    <w:bookmarkStart w:id="23" w:name="key-sales-performance-metrics"/>
    <w:p>
      <w:pPr>
        <w:pStyle w:val="Heading2"/>
      </w:pPr>
      <w:r>
        <w:t xml:space="preserve">Key Sales Performance Metrics</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YoY Change</w:t>
      </w:r>
    </w:p>
    <w:p>
      <w:pPr>
        <w:pStyle w:val="BodyText"/>
      </w:pPr>
      <w:r>
        <w:t xml:space="preserve">Medical Researcher Placements in Tokyo</w:t>
      </w:r>
    </w:p>
    <w:p>
      <w:pPr>
        <w:pStyle w:val="BodyText"/>
      </w:pPr>
      <w:r>
        <w:t xml:space="preserve">47</w:t>
      </w:r>
    </w:p>
    <w:p>
      <w:pPr>
        <w:pStyle w:val="BodyText"/>
      </w:pPr>
      <w:r>
        <w:t xml:space="preserve">89</w:t>
      </w:r>
    </w:p>
    <w:p>
      <w:pPr>
        <w:pStyle w:val="BodyText"/>
      </w:pPr>
      <w:r>
        <w:t xml:space="preserve">+89.4%</w:t>
      </w:r>
    </w:p>
    <w:p>
      <w:pPr>
        <w:pStyle w:val="BodyText"/>
      </w:pPr>
      <w:r>
        <w:t xml:space="preserve">Average Contract Value (JPY)</w:t>
      </w:r>
    </w:p>
    <w:p>
      <w:pPr>
        <w:pStyle w:val="BodyText"/>
      </w:pPr>
      <w:r>
        <w:t xml:space="preserve">12,500,000</w:t>
      </w:r>
    </w:p>
    <w:p>
      <w:pPr>
        <w:pStyle w:val="BodyText"/>
      </w:pPr>
      <w:r>
        <w:t xml:space="preserve">16,350,000</w:t>
      </w:r>
    </w:p>
    <w:p>
      <w:pPr>
        <w:pStyle w:val="BodyText"/>
      </w:pPr>
      <w:hyperlink r:id="rId22">
        <w:r>
          <w:rPr>
            <w:rStyle w:val="Hyperlink"/>
          </w:rPr>
          <w:t xml:space="preserve">+31.4%</w:t>
        </w:r>
      </w:hyperlink>
    </w:p>
    <w:p>
      <w:pPr>
        <w:pStyle w:val="BodyText"/>
      </w:pPr>
      <w:r>
        <w:t xml:space="preserve">Client Retention Rate (Tokyo)</w:t>
      </w:r>
    </w:p>
    <w:p>
      <w:pPr>
        <w:pStyle w:val="BodyText"/>
      </w:pPr>
      <w:r>
        <w:t xml:space="preserve">78%</w:t>
      </w:r>
    </w:p>
    <w:p>
      <w:pPr>
        <w:pStyle w:val="BodyText"/>
      </w:pPr>
      <w:r>
        <w:t xml:space="preserve">92%</w:t>
      </w:r>
    </w:p>
    <w:p>
      <w:pPr>
        <w:pStyle w:val="BodyText"/>
      </w:pPr>
      <w:r>
        <w:t xml:space="preserve">+14 pts</w:t>
      </w:r>
    </w:p>
    <w:p>
      <w:pPr>
        <w:pStyle w:val="BodyText"/>
      </w:pPr>
      <w:r>
        <w:t xml:space="preserve">New Client Acquisition (Pharma/Research)</w:t>
      </w:r>
    </w:p>
    <w:p>
      <w:pPr>
        <w:pStyle w:val="BodyText"/>
      </w:pPr>
      <w:r>
        <w:t xml:space="preserve">12</w:t>
      </w:r>
    </w:p>
    <w:p>
      <w:pPr>
        <w:pStyle w:val="BodyText"/>
      </w:pPr>
      <w:r>
        <w:t xml:space="preserve">,</w:t>
      </w:r>
      <w:hyperlink r:id="rId22">
        <w:r>
          <w:rPr>
            <w:rStyle w:val="Hyperlink"/>
          </w:rPr>
          <w:t xml:space="preserve">65% from Tokyo-based firms</w:t>
        </w:r>
      </w:hyperlink>
    </w:p>
    <w:p>
      <w:pPr>
        <w:pStyle w:val="BodyText"/>
      </w:pPr>
      <w:r>
        <w:t xml:space="preserve">The Sales Report identifies Tokyo as our most profitable market segment, contributing 38% of global revenue. Notably, Medical Researcher placements in Japan Tokyo achieved a 27% higher average contract value than other Asian markets due to specialized skill requirements and stringent regulatory standards under Japan's Pharmaceuticals and Medical Devices Act (PMDA).</w:t>
      </w:r>
    </w:p>
    <w:bookmarkEnd w:id="23"/>
    <w:bookmarkStart w:id="24" w:name="client-insights-tokyo-market-dynamics"/>
    <w:p>
      <w:pPr>
        <w:pStyle w:val="Heading2"/>
      </w:pPr>
      <w:r>
        <w:t xml:space="preserve">Client Insights: Tokyo Market Dynamics</w:t>
      </w:r>
    </w:p>
    <w:p>
      <w:pPr>
        <w:pStyle w:val="FirstParagraph"/>
      </w:pPr>
      <w:r>
        <w:t xml:space="preserve">Through 58 client interviews conducted in Tokyo, we uncovered critical insights driving sales success:</w:t>
      </w:r>
    </w:p>
    <w:p>
      <w:pPr>
        <w:numPr>
          <w:ilvl w:val="0"/>
          <w:numId w:val="1001"/>
        </w:numPr>
        <w:pStyle w:val="Compact"/>
      </w:pPr>
      <w:r>
        <w:rPr>
          <w:bCs/>
          <w:b/>
        </w:rPr>
        <w:t xml:space="preserve">Cultural Alignment Imperative:</w:t>
      </w:r>
      <w:r>
        <w:t xml:space="preserve"> </w:t>
      </w:r>
      <w:r>
        <w:t xml:space="preserve">94% of Tokyo-based clients prioritized candidates with Japanese language proficiency and understanding of local research ethics protocols. Our Sales Report confirms that Medical Researchers lacking this cultural fluency had 72% higher attrition rates.</w:t>
      </w:r>
    </w:p>
    <w:p>
      <w:pPr>
        <w:numPr>
          <w:ilvl w:val="0"/>
          <w:numId w:val="1001"/>
        </w:numPr>
        <w:pStyle w:val="Compact"/>
      </w:pPr>
      <w:r>
        <w:rPr>
          <w:bCs/>
          <w:b/>
        </w:rPr>
        <w:t xml:space="preserve">Regulatory Complexity:</w:t>
      </w:r>
      <w:r>
        <w:t xml:space="preserve"> </w:t>
      </w:r>
      <w:r>
        <w:t xml:space="preserve">Pharmaceutical clients in Japan Tokyo require Medical Researchers certified in GCP (Good Clinical Practice) and PMDA-compliant documentation. Our specialized onboarding program reduced client compliance issues by 68%, directly boosting retention.</w:t>
      </w:r>
    </w:p>
    <w:p>
      <w:pPr>
        <w:numPr>
          <w:ilvl w:val="0"/>
          <w:numId w:val="1001"/>
        </w:numPr>
        <w:pStyle w:val="Compact"/>
      </w:pPr>
      <w:r>
        <w:rPr>
          <w:bCs/>
          <w:b/>
        </w:rPr>
        <w:t xml:space="preserve">Tiered Demand Pattern:</w:t>
      </w:r>
      <w:r>
        <w:t xml:space="preserve"> </w:t>
      </w:r>
      <w:r>
        <w:t xml:space="preserve">Tier-1 institutions (e.g., Tokyo University, Daiichi Sankyo) seek PhD-level Medical Researchers with 5+ years' experience at premium rates (JPY 24M+ annually). Tier-2 clinics demand mid-career talent at JPY 15-19M. Our Sales Report shows this segmentation increased placement efficiency by 41%.</w:t>
      </w:r>
    </w:p>
    <w:bookmarkEnd w:id="24"/>
    <w:bookmarkStart w:id="25" w:name="challenges-in-japan-tokyo-market"/>
    <w:p>
      <w:pPr>
        <w:pStyle w:val="Heading2"/>
      </w:pPr>
      <w:r>
        <w:t xml:space="preserve">Challenges in Japan Tokyo Market</w:t>
      </w:r>
    </w:p>
    <w:p>
      <w:pPr>
        <w:pStyle w:val="FirstParagraph"/>
      </w:pPr>
      <w:r>
        <w:t xml:space="preserve">The Sales Report identifies three critical barriers requiring strategic mitigation:</w:t>
      </w:r>
    </w:p>
    <w:p>
      <w:pPr>
        <w:numPr>
          <w:ilvl w:val="0"/>
          <w:numId w:val="1002"/>
        </w:numPr>
        <w:pStyle w:val="Compact"/>
      </w:pPr>
      <w:r>
        <w:rPr>
          <w:bCs/>
          <w:b/>
        </w:rPr>
        <w:t xml:space="preserve">Talent Shortage:</w:t>
      </w:r>
      <w:r>
        <w:t xml:space="preserve"> </w:t>
      </w:r>
      <w:r>
        <w:t xml:space="preserve">Tokyo has a 3.2:1 candidate-to-position ratio for specialized Medical Researchers. This scarcity inflates recruitment costs by 28% versus global benchmarks.</w:t>
      </w:r>
    </w:p>
    <w:p>
      <w:pPr>
        <w:numPr>
          <w:ilvl w:val="0"/>
          <w:numId w:val="1002"/>
        </w:numPr>
        <w:pStyle w:val="Compact"/>
      </w:pPr>
      <w:r>
        <w:rPr>
          <w:bCs/>
          <w:b/>
        </w:rPr>
        <w:t xml:space="preserve">Cultural Misalignment:</w:t>
      </w:r>
      <w:r>
        <w:t xml:space="preserve"> </w:t>
      </w:r>
      <w:r>
        <w:t xml:space="preserve">Foreign Medical Researchers often struggle with Japan's hierarchical research environments, leading to project delays (average 47 days per project). Our Sales Report links this to a 33% higher client churn rate for mismatched placements.</w:t>
      </w:r>
    </w:p>
    <w:p>
      <w:pPr>
        <w:numPr>
          <w:ilvl w:val="0"/>
          <w:numId w:val="1002"/>
        </w:numPr>
        <w:pStyle w:val="Compact"/>
      </w:pPr>
      <w:r>
        <w:rPr>
          <w:bCs/>
          <w:b/>
        </w:rPr>
        <w:t xml:space="preserve">Regulatory Overhead:</w:t>
      </w:r>
      <w:r>
        <w:t xml:space="preserve"> </w:t>
      </w:r>
      <w:r>
        <w:t xml:space="preserve">Navigating Japan's complex medical approval processes requires dedicated resources. Clients reported that 62% of Medical Researcher recruitment cycles were delayed by regulatory paperwork.</w:t>
      </w:r>
    </w:p>
    <w:bookmarkEnd w:id="25"/>
    <w:bookmarkStart w:id="26" w:name="X3b83549f27a4831a6a47b22da7796816befe257"/>
    <w:p>
      <w:pPr>
        <w:pStyle w:val="Heading2"/>
      </w:pPr>
      <w:r>
        <w:t xml:space="preserve">Strategic Recommendations for Sales Growth</w:t>
      </w:r>
    </w:p>
    <w:p>
      <w:pPr>
        <w:pStyle w:val="FirstParagraph"/>
      </w:pPr>
      <w:r>
        <w:t xml:space="preserve">To capitalize on Tokyo's market potential, this Sales Report prescribes three action pillars:</w:t>
      </w:r>
    </w:p>
    <w:p>
      <w:pPr>
        <w:numPr>
          <w:ilvl w:val="0"/>
          <w:numId w:val="1003"/>
        </w:numPr>
        <w:pStyle w:val="Compact"/>
      </w:pPr>
      <w:r>
        <w:rPr>
          <w:bCs/>
          <w:b/>
        </w:rPr>
        <w:t xml:space="preserve">Localized Talent Pipelines:</w:t>
      </w:r>
      <w:r>
        <w:t xml:space="preserve"> </w:t>
      </w:r>
      <w:r>
        <w:t xml:space="preserve">Establish partnerships with 5+ Tokyo universities (e.g., Keio, Waseda) to create Medical Researcher apprenticeship programs. This will directly address the talent shortage while building long-term client relationships. Pilot projections indicate 200% ROI within 18 months.</w:t>
      </w:r>
    </w:p>
    <w:p>
      <w:pPr>
        <w:numPr>
          <w:ilvl w:val="0"/>
          <w:numId w:val="1003"/>
        </w:numPr>
        <w:pStyle w:val="Compact"/>
      </w:pPr>
      <w:r>
        <w:rPr>
          <w:bCs/>
          <w:b/>
        </w:rPr>
        <w:t xml:space="preserve">Cultural Integration Framework:</w:t>
      </w:r>
      <w:r>
        <w:t xml:space="preserve"> </w:t>
      </w:r>
      <w:r>
        <w:t xml:space="preserve">Implement mandatory "Japan Tokyo Research Culture" training for all Medical Researchers before assignment. The Sales Report shows this reduced early-career failures by 57% and improved client satisfaction scores by 3.2 points (on a 5-point scale).</w:t>
      </w:r>
    </w:p>
    <w:p>
      <w:pPr>
        <w:numPr>
          <w:ilvl w:val="0"/>
          <w:numId w:val="1003"/>
        </w:numPr>
        <w:pStyle w:val="Compact"/>
      </w:pPr>
      <w:r>
        <w:rPr>
          <w:bCs/>
          <w:b/>
        </w:rPr>
        <w:t xml:space="preserve">Regulatory Technology Suite:</w:t>
      </w:r>
      <w:r>
        <w:t xml:space="preserve"> </w:t>
      </w:r>
      <w:r>
        <w:t xml:space="preserve">Develop an AI-powered compliance dashboard for Medical Researcher assignments, pre-validated against PMDA standards. This solution will cut onboarding time by 40% and position us as essential partners for Tokyo-based clients.</w:t>
      </w:r>
    </w:p>
    <w:bookmarkEnd w:id="26"/>
    <w:bookmarkStart w:id="27" w:name="X5267d552beeb43a0a77ff9ca28d63b16591267c"/>
    <w:p>
      <w:pPr>
        <w:pStyle w:val="Heading2"/>
      </w:pPr>
      <w:r>
        <w:t xml:space="preserve">Conclusion: The Future of Medical Research Sales in Tokyo</w:t>
      </w:r>
    </w:p>
    <w:p>
      <w:pPr>
        <w:pStyle w:val="FirstParagraph"/>
      </w:pPr>
      <w:r>
        <w:t xml:space="preserve">This Sales Report unequivocally confirms that Japan Tokyo represents the most valuable growth frontier for Medical Researcher recruitment services. With medical research investment in Tokyo projected to reach JPY 5.8 trillion by 2025 (up from JPY 3.9 trillion in 2021), our strategic focus on cultural competence, regulatory mastery, and local partnership is not merely advantageous—it is essential for sustained revenue leadership.</w:t>
      </w:r>
    </w:p>
    <w:p>
      <w:pPr>
        <w:pStyle w:val="BodyText"/>
      </w:pPr>
      <w:r>
        <w:t xml:space="preserve">By embedding "Medical Researcher" as the core product within Japan Tokyo's innovation ecosystem, we've transformed recruitment from a transactional service into a strategic growth driver. The 89% YoY placement increase demonstrates that when sales strategies align with Tokyo's unique market demands, medical research talent acquisition becomes the engine of corporate success. We project that implementing these recommendations will secure 53+ new Tokyo-based clients in FY2024, generating an estimated JPY 1.7 billion in incremental revenue.</w:t>
      </w:r>
    </w:p>
    <w:p>
      <w:pPr>
        <w:pStyle w:val="BodyText"/>
      </w:pPr>
      <w:r>
        <w:rPr>
          <w:bCs/>
          <w:b/>
        </w:rPr>
        <w:t xml:space="preserve">Final Recommendation:</w:t>
      </w:r>
      <w:r>
        <w:t xml:space="preserve"> </w:t>
      </w:r>
      <w:r>
        <w:t xml:space="preserve">Accelerate investment in Tokyo-specific Medical Researcher market initiatives immediately. The Sales Report concludes that Japan Tokyo isn't just a market segment—it's the proving ground for our global medical recruitment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Japan Tokyo Market</dc:title>
  <dc:creator/>
  <dc:language>en</dc:language>
  <cp:keywords/>
  <dcterms:created xsi:type="dcterms:W3CDTF">2026-07-24T10:21:34Z</dcterms:created>
  <dcterms:modified xsi:type="dcterms:W3CDTF">2026-07-24T10:21:34Z</dcterms:modified>
</cp:coreProperties>
</file>

<file path=docProps/custom.xml><?xml version="1.0" encoding="utf-8"?>
<Properties xmlns="http://schemas.openxmlformats.org/officeDocument/2006/custom-properties" xmlns:vt="http://schemas.openxmlformats.org/officeDocument/2006/docPropsVTypes"/>
</file>