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Report</w:t>
      </w:r>
      <w:r>
        <w:t xml:space="preserve"> </w:t>
      </w:r>
      <w:r>
        <w:t xml:space="preserve">-</w:t>
      </w:r>
      <w:r>
        <w:t xml:space="preserve"> </w:t>
      </w:r>
      <w:r>
        <w:t xml:space="preserve">Kenya</w:t>
      </w:r>
      <w:r>
        <w:t xml:space="preserve"> </w:t>
      </w:r>
      <w:r>
        <w:t xml:space="preserve">Nairobi</w:t>
      </w:r>
    </w:p>
    <w:bookmarkStart w:id="27" w:name="X788a64cab13d9693c7f0bb94784feb64ca0c7f5"/>
    <w:p>
      <w:pPr>
        <w:pStyle w:val="Heading1"/>
      </w:pPr>
      <w:r>
        <w:t xml:space="preserve">Sales Report: Medical Researcher Recruitment &amp; Market Analysis in Nairobi, Kenya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Region Covered:</w:t>
      </w:r>
      <w:r>
        <w:t xml:space="preserve"> </w:t>
      </w:r>
      <w:r>
        <w:t xml:space="preserve">Nairobi, Kenya (Including Kibera, Langata, Karen &amp; Industrial Areas)</w:t>
      </w:r>
    </w:p>
    <w:bookmarkStart w:id="20" w:name="i.-executive-summary"/>
    <w:p>
      <w:pPr>
        <w:pStyle w:val="Heading2"/>
      </w:pPr>
      <w:r>
        <w:t xml:space="preserve">I. Executive Summary</w:t>
      </w:r>
    </w:p>
    <w:p>
      <w:pPr>
        <w:pStyle w:val="FirstParagraph"/>
      </w:pPr>
      <w:r>
        <w:t xml:space="preserve">This Sales Report details the recruitment performance for Medical Researcher positions across Nairobi, Kenya's economic and medical hub. The past fiscal quarter demonstrated exceptional growth in demand for qualified Medical Researchers, with a 37% year-over-year increase in client inquiries specifically targeting Nairobi-based talent pools. Our agency successfully filled 42 critical Medical Researcher roles across pharmaceutical firms, academic institutions (e.g., University of Nairobi, KEMRI), and international NGOs operating from Nairobi. This represents an 18% improvement in placement rate compared to Q2 2023, directly contributing to our sales target achievement of 107%. The report underscores Nairobi's emergence as Kenya's central nexus for medical research innovation, driving unprecedented sales momentum for our specialized recruitment services.</w:t>
      </w:r>
    </w:p>
    <w:bookmarkEnd w:id="20"/>
    <w:bookmarkStart w:id="21" w:name="X46bb0607c5f0fa5b85ae0c0a3976d565e534b0c"/>
    <w:p>
      <w:pPr>
        <w:pStyle w:val="Heading2"/>
      </w:pPr>
      <w:r>
        <w:t xml:space="preserve">II. Market Context: Medical Researcher Demand in Nairobi</w:t>
      </w:r>
    </w:p>
    <w:p>
      <w:pPr>
        <w:pStyle w:val="FirstParagraph"/>
      </w:pPr>
      <w:r>
        <w:t xml:space="preserve">Nairobi serves as Kenya's undisputed capital for medical research activity, housing 78% of the nation's clinical trial centers and 63% of biotech startups (Kenya Medical Research Institute, 2023). This concentration creates an exceptionally high demand for skilled Medical Researchers who understand local epidemiological challenges—from malaria and HIV/AIDS to emerging zoonotic diseases. Our sales data confirms that Nairobi-based organizations are now prioritizing Medical Researchers with:</w:t>
      </w:r>
      <w:r>
        <w:t xml:space="preserve"> </w:t>
      </w:r>
      <w:r>
        <w:t xml:space="preserve">- Fluency in Swahili and English (required by 94% of clients)</w:t>
      </w:r>
      <w:r>
        <w:t xml:space="preserve"> </w:t>
      </w:r>
      <w:r>
        <w:t xml:space="preserve">- Experience in East African clinical trials (87% of job descriptions)</w:t>
      </w:r>
      <w:r>
        <w:t xml:space="preserve"> </w:t>
      </w:r>
      <w:r>
        <w:t xml:space="preserve">- Knowledge of Kenya's regulatory framework (KEPHIS compliance, 81%)</w:t>
      </w:r>
    </w:p>
    <w:p>
      <w:pPr>
        <w:pStyle w:val="BodyText"/>
      </w:pPr>
      <w:r>
        <w:t xml:space="preserve">Notably, the launch of Kenya's National Health Innovation Strategy has triggered a 52% surge in new Medical Researcher positions within Nairobi corporations. This strategic shift directly fuels our Sales Report metrics, as clients increasingly seek talent capable of navigating Nairobi's unique research ecosystem—from fieldwork in informal settlements to collaborating with county health departments.</w:t>
      </w:r>
    </w:p>
    <w:bookmarkEnd w:id="21"/>
    <w:bookmarkStart w:id="22" w:name="X3612c6946cc7e00aa5118f3fc2ed9e538ffb168"/>
    <w:p>
      <w:pPr>
        <w:pStyle w:val="Heading2"/>
      </w:pPr>
      <w:r>
        <w:t xml:space="preserve">III. Quarterly Sales Performance Analysis</w:t>
      </w:r>
    </w:p>
    <w:p>
      <w:pPr>
        <w:pStyle w:val="FirstParagraph"/>
      </w:pPr>
      <w:r>
        <w:t xml:space="preserve">Metrics</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Medical Researcher Placements (Nairobi)</w:t>
      </w:r>
    </w:p>
    <w:p>
      <w:pPr>
        <w:pStyle w:val="BodyText"/>
      </w:pPr>
      <w:r>
        <w:t xml:space="preserve">42</w:t>
      </w:r>
    </w:p>
    <w:p>
      <w:pPr>
        <w:pStyle w:val="BodyText"/>
      </w:pPr>
      <w:r>
        <w:t xml:space="preserve">35</w:t>
      </w:r>
    </w:p>
    <w:p>
      <w:pPr>
        <w:pStyle w:val="BodyText"/>
      </w:pPr>
      <w:r>
        <w:t xml:space="preserve">+18.4%</w:t>
      </w:r>
    </w:p>
    <w:p>
      <w:pPr>
        <w:pStyle w:val="BodyText"/>
      </w:pPr>
      <w:r>
        <w:t xml:space="preserve">Average Client Retention Rate</w:t>
      </w:r>
    </w:p>
    <w:p>
      <w:pPr>
        <w:pStyle w:val="BodyText"/>
      </w:pPr>
      <w:r>
        <w:t xml:space="preserve">93%</w:t>
      </w:r>
    </w:p>
    <w:p>
      <w:pPr>
        <w:pStyle w:val="BodyText"/>
      </w:pPr>
      <w:r>
        <w:t xml:space="preserve">td&gt;</w:t>
      </w:r>
    </w:p>
    <w:p>
      <w:pPr>
        <w:pStyle w:val="BodyText"/>
      </w:pPr>
      <w:r>
        <w:t xml:space="preserve">&lt;</w:t>
      </w:r>
      <w:r>
        <w:t xml:space="preserve"> </w:t>
      </w:r>
      <w:r>
        <w:t xml:space="preserve">th</w:t>
      </w:r>
      <w:r>
        <w:t xml:space="preserve"> </w:t>
      </w:r>
      <w:r>
        <w:t xml:space="preserve">&gt;</w:t>
      </w:r>
      <w:r>
        <w:t xml:space="preserve"> </w:t>
      </w:r>
      <w:r>
        <w:t xml:space="preserve">86%</w:t>
      </w:r>
    </w:p>
    <w:p>
      <w:pPr>
        <w:pStyle w:val="BodyText"/>
      </w:pPr>
      <w:r>
        <w:t xml:space="preserve">&lt;</w:t>
      </w:r>
      <w:r>
        <w:t xml:space="preserve"> </w:t>
      </w:r>
      <w:r>
        <w:t xml:space="preserve">/tr</w:t>
      </w:r>
      <w:r>
        <w:t xml:space="preserve"> </w:t>
      </w:r>
      <w:r>
        <w:t xml:space="preserve">&gt;&lt; tr &gt;</w:t>
      </w:r>
      <w:r>
        <w:t xml:space="preserve"> </w:t>
      </w:r>
      <w:r>
        <w:t xml:space="preserve">&lt;</w:t>
      </w:r>
      <w:r>
        <w:t xml:space="preserve"> </w:t>
      </w:r>
      <w:r>
        <w:t xml:space="preserve">td &gt;Avg. Time-to-Fill (Days)</w:t>
      </w:r>
    </w:p>
    <w:p>
      <w:pPr>
        <w:pStyle w:val="BodyText"/>
      </w:pPr>
      <w:r>
        <w:t xml:space="preserve">21 days</w:t>
      </w:r>
    </w:p>
    <w:p>
      <w:pPr>
        <w:pStyle w:val="BodyText"/>
      </w:pPr>
      <w:r>
        <w:t xml:space="preserve">29 days</w:t>
      </w:r>
    </w:p>
    <w:p>
      <w:pPr>
        <w:pStyle w:val="BodyText"/>
      </w:pPr>
      <w:r>
        <w:t xml:space="preserve">-27.6%</w:t>
      </w:r>
    </w:p>
    <w:p>
      <w:pPr>
        <w:pStyle w:val="BodyText"/>
      </w:pPr>
      <w:r>
        <w:t xml:space="preserve">Total Revenue Generated&lt; t d&gt;KES 18.7M&lt; t d&gt;KES 15.9M&lt; t</w:t>
      </w:r>
      <w:r>
        <w:t xml:space="preserve"> </w:t>
      </w:r>
      <w:r>
        <w:t xml:space="preserve">d &gt;+17.6%</w:t>
      </w:r>
    </w:p>
    <w:p>
      <w:pPr>
        <w:pStyle w:val="BodyText"/>
      </w:pPr>
      <w:r>
        <w:t xml:space="preserve">Our Nairobi sales team achieved a remarkable 32% reduction in candidate sourcing time through localized strategies—specifically leveraging partnerships with medical universities (KU, USIU-Africa) and community health networks in Nairobi's low-income areas. This efficiency directly boosted our Sales Report conversion rates from initial inquiries to signed contracts.</w:t>
      </w:r>
    </w:p>
    <w:bookmarkEnd w:id="22"/>
    <w:bookmarkStart w:id="23" w:name="X12d5009bfe4f5fc69a976ca530b3405745bda33"/>
    <w:p>
      <w:pPr>
        <w:pStyle w:val="Heading2"/>
      </w:pPr>
      <w:r>
        <w:t xml:space="preserve">IV. Key Sales Insights Driving Performance</w:t>
      </w:r>
    </w:p>
    <w:p>
      <w:pPr>
        <w:pStyle w:val="FirstParagraph"/>
      </w:pPr>
      <w:r>
        <w:rPr>
          <w:bCs/>
          <w:b/>
        </w:rPr>
        <w:t xml:space="preserve">1. Nairobi-Specific Talent Mapping:</w:t>
      </w:r>
      <w:r>
        <w:t xml:space="preserve"> </w:t>
      </w:r>
      <w:r>
        <w:t xml:space="preserve">We developed a proprietary database indexing 1,400+ Medical Researchers in Kenya Nairobi—categorizing by expertise in TB/HIV (68%), vaccine trials (23%), and maternal health (9%). This precision targeting reduced client dissatisfaction by 41% compared to generic placements.</w:t>
      </w:r>
    </w:p>
    <w:p>
      <w:pPr>
        <w:pStyle w:val="BodyText"/>
      </w:pPr>
      <w:r>
        <w:rPr>
          <w:bCs/>
          <w:b/>
        </w:rPr>
        <w:t xml:space="preserve">2. Regulatory Compliance as Sales Catalyst:</w:t>
      </w:r>
      <w:r>
        <w:t xml:space="preserve"> </w:t>
      </w:r>
      <w:r>
        <w:t xml:space="preserve">Clients emphasized that Nairobi's stringent KEPHIS requirements make finding Medical Researchers who understand local protocols a critical sales differentiator. Our pre-vetted candidates' regulatory knowledge directly addressed this pain point, closing 100% of contracts in our top 15 accounts.</w:t>
      </w:r>
    </w:p>
    <w:p>
      <w:pPr>
        <w:pStyle w:val="BodyText"/>
      </w:pPr>
      <w:r>
        <w:rPr>
          <w:bCs/>
          <w:b/>
        </w:rPr>
        <w:t xml:space="preserve">3. Community Engagement Strategy:</w:t>
      </w:r>
      <w:r>
        <w:t xml:space="preserve"> </w:t>
      </w:r>
      <w:r>
        <w:t xml:space="preserve">Partnering with Nairobi-based NGOs (e.g., AMPATH, AMREF) to source talent from informal settlements created a pipeline of culturally competent Medical Researchers. This approach generated 28% of all placements and strengthened our reputation as a socially responsible recruitment partner in Kenya Nairobi.</w:t>
      </w:r>
    </w:p>
    <w:bookmarkEnd w:id="23"/>
    <w:bookmarkStart w:id="24" w:name="v.-challenges-strategic-response"/>
    <w:p>
      <w:pPr>
        <w:pStyle w:val="Heading2"/>
      </w:pPr>
      <w:r>
        <w:t xml:space="preserve">V. Challenges &amp; Strategic Response</w:t>
      </w:r>
    </w:p>
    <w:p>
      <w:pPr>
        <w:pStyle w:val="FirstParagraph"/>
      </w:pPr>
      <w:r>
        <w:t xml:space="preserve">Despite strong sales, two challenges emerged:</w:t>
      </w:r>
    </w:p>
    <w:p>
      <w:pPr>
        <w:numPr>
          <w:ilvl w:val="0"/>
          <w:numId w:val="1001"/>
        </w:numPr>
        <w:pStyle w:val="Compact"/>
      </w:pPr>
      <w:r>
        <w:rPr>
          <w:bCs/>
          <w:b/>
        </w:rPr>
        <w:t xml:space="preserve">Salary Competition:</w:t>
      </w:r>
      <w:r>
        <w:t xml:space="preserve"> </w:t>
      </w:r>
      <w:r>
        <w:t xml:space="preserve">Pharmaceutical giants in Nairobi's Westlands district offered 25% higher compensation, causing candidate attrition during our recruitment cycle. Our response: Developed "Nairobi Talent Retention Packages" including housing allowances and research grants—reducing post-placement turnover by 33%.</w:t>
      </w:r>
    </w:p>
    <w:p>
      <w:pPr>
        <w:numPr>
          <w:ilvl w:val="0"/>
          <w:numId w:val="1001"/>
        </w:numPr>
        <w:pStyle w:val="Compact"/>
      </w:pPr>
      <w:r>
        <w:rPr>
          <w:bCs/>
          <w:b/>
        </w:rPr>
        <w:t xml:space="preserve">Regulatory Shifts:</w:t>
      </w:r>
      <w:r>
        <w:t xml:space="preserve"> </w:t>
      </w:r>
      <w:r>
        <w:t xml:space="preserve">New KEPHIS guidelines for community trials in Nairobi County increased client requirements mid-quarter. Our team rapidly created a compliance checklist training module, securing 12 contracts within 10 days of rollout.</w:t>
      </w:r>
    </w:p>
    <w:bookmarkEnd w:id="24"/>
    <w:bookmarkStart w:id="25" w:name="Xd4fdbbbd1815f923f02fe2f1edc5794aad01c63"/>
    <w:p>
      <w:pPr>
        <w:pStyle w:val="Heading2"/>
      </w:pPr>
      <w:r>
        <w:t xml:space="preserve">VI. Future Sales Outlook for Medical Researcher Roles in Nairobi</w:t>
      </w:r>
    </w:p>
    <w:p>
      <w:pPr>
        <w:pStyle w:val="FirstParagraph"/>
      </w:pPr>
      <w:r>
        <w:t xml:space="preserve">Nairobi's medical research market is poised for explosive growth with the upcoming launch of the East Africa Clinical Trials Hub in Konza Techno City (expected 2025). Our sales forecast projects a 45% increase in Medical Researcher demand within Kenya Nairobi by Q1 2024. To capitalize, we propose:</w:t>
      </w:r>
    </w:p>
    <w:p>
      <w:pPr>
        <w:numPr>
          <w:ilvl w:val="0"/>
          <w:numId w:val="1002"/>
        </w:numPr>
        <w:pStyle w:val="Compact"/>
      </w:pPr>
      <w:r>
        <w:t xml:space="preserve">Establishing an on-the-ground recruitment office in Nairobi's Kipkoywo area (near KEMRI headquarters)</w:t>
      </w:r>
    </w:p>
    <w:p>
      <w:pPr>
        <w:numPr>
          <w:ilvl w:val="0"/>
          <w:numId w:val="1002"/>
        </w:numPr>
        <w:pStyle w:val="Compact"/>
      </w:pPr>
      <w:r>
        <w:t xml:space="preserve">Developing a Swahili-language training module for foreign Medical Researchers seeking Nairobi roles</w:t>
      </w:r>
    </w:p>
    <w:p>
      <w:pPr>
        <w:numPr>
          <w:ilvl w:val="0"/>
          <w:numId w:val="1002"/>
        </w:numPr>
        <w:pStyle w:val="Compact"/>
      </w:pPr>
      <w:r>
        <w:t xml:space="preserve">Prioritizing partnerships with Kenyatta University's School of Medicine for graduate talent pipelines</w:t>
      </w:r>
    </w:p>
    <w:bookmarkEnd w:id="25"/>
    <w:bookmarkStart w:id="26" w:name="Xd8c6d547c2f930280b8695b99699b42d8631c85"/>
    <w:p>
      <w:pPr>
        <w:pStyle w:val="Heading2"/>
      </w:pPr>
      <w:r>
        <w:t xml:space="preserve">VII. Conclusion: Sales Report Significance in Kenya Nairobi Context</w:t>
      </w:r>
    </w:p>
    <w:p>
      <w:pPr>
        <w:pStyle w:val="FirstParagraph"/>
      </w:pPr>
      <w:r>
        <w:t xml:space="preserve">This Sales Report unequivocally demonstrates that Nairobi is not merely a location but the central engine driving Kenya's medical research economy. The 37% surge in Medical Researcher demand directly correlates with Nairobi's status as Africa's top destination for clinical trials (per WHO East Africa). Our agency’s success in filling these roles—particularly those requiring deep Nairobi community engagement—proves our model is aligned with the region’s needs.</w:t>
      </w:r>
    </w:p>
    <w:p>
      <w:pPr>
        <w:pStyle w:val="BodyText"/>
      </w:pPr>
      <w:r>
        <w:t xml:space="preserve">Going forward, every Sales Report will incorporate Nairobi-specific metrics: geographic placement density (e.g., 67% of roles in Westlands/Langata), local regulatory adaptation rates, and community health network integration. This hyper-localized approach ensures we remain the premier partner for organizations seeking to deploy Medical Researchers who understand Kenya's unique landscape—from Nairobi's high-rises to its rural health outposts.</w:t>
      </w:r>
    </w:p>
    <w:p>
      <w:pPr>
        <w:pStyle w:val="BodyText"/>
      </w:pPr>
      <w:r>
        <w:t xml:space="preserve">As Kenya positions itself as a medical research leader across Africa, our Nairobi-based sales strategy will continue to be the critical pipeline for talent that drives innovation. The data is clear: In the arena of Medical Researcher recruitment, Nairobi isn't just a market—it's the entire battlefield.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Report - Kenya Nairobi</dc:title>
  <dc:creator/>
  <dc:language>en</dc:language>
  <cp:keywords/>
  <dcterms:created xsi:type="dcterms:W3CDTF">2026-07-24T09:10:42Z</dcterms:created>
  <dcterms:modified xsi:type="dcterms:W3CDTF">2026-07-24T09:10:42Z</dcterms:modified>
</cp:coreProperties>
</file>

<file path=docProps/custom.xml><?xml version="1.0" encoding="utf-8"?>
<Properties xmlns="http://schemas.openxmlformats.org/officeDocument/2006/custom-properties" xmlns:vt="http://schemas.openxmlformats.org/officeDocument/2006/docPropsVTypes"/>
</file>