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Kuwait</w:t>
      </w:r>
      <w:r>
        <w:t xml:space="preserve"> </w:t>
      </w:r>
      <w:r>
        <w:t xml:space="preserve">Kuwait</w:t>
      </w:r>
      <w:r>
        <w:t xml:space="preserve"> </w:t>
      </w:r>
      <w:r>
        <w:t xml:space="preserve">City</w:t>
      </w:r>
      <w:r>
        <w:t xml:space="preserve"> </w:t>
      </w:r>
      <w:r>
        <w:t xml:space="preserve">Market</w:t>
      </w:r>
    </w:p>
    <w:bookmarkStart w:id="28" w:name="Xb38e4e7d37e7dca075cdea5834b5eea3fff4110"/>
    <w:p>
      <w:pPr>
        <w:pStyle w:val="Heading1"/>
      </w:pPr>
      <w:r>
        <w:t xml:space="preserve">Medical Researcher Sales Performance Report for Kuwait Kuwait City Market</w:t>
      </w:r>
    </w:p>
    <w:p>
      <w:pPr>
        <w:pStyle w:val="FirstParagraph"/>
      </w:pPr>
      <w:r>
        <w:t xml:space="preserve">Quarterly Sales Analysis | Q3 2023 | Prepared for Strategic Leadership Team</w:t>
      </w:r>
    </w:p>
    <w:bookmarkStart w:id="20" w:name="executive-summary"/>
    <w:p>
      <w:pPr>
        <w:pStyle w:val="Heading2"/>
      </w:pPr>
      <w:r>
        <w:t xml:space="preserve">Executive Summary</w:t>
      </w:r>
    </w:p>
    <w:p>
      <w:pPr>
        <w:pStyle w:val="FirstParagraph"/>
      </w:pPr>
      <w:r>
        <w:t xml:space="preserve">This comprehensive Sales Report details the performance metrics, market dynamics, and strategic initiatives centered around our Medical Researcher role within the Kuwait Kuwait City healthcare ecosystem. The data unequivocally demonstrates how our dedicated Medical Researcher has become a pivotal driver for revenue growth in this high-potential market. This report validates that integrating specialized medical research expertise directly into sales operations yields exceptional returns in the Gulf healthcare sector, particularly in Kuwait City where regulatory complexity and premium service demand create unique opportunities.</w:t>
      </w:r>
    </w:p>
    <w:bookmarkEnd w:id="20"/>
    <w:bookmarkStart w:id="21" w:name="X788055ec1fe334410cd3f6843f225f0fd4e85ab"/>
    <w:p>
      <w:pPr>
        <w:pStyle w:val="Heading2"/>
      </w:pPr>
      <w:r>
        <w:t xml:space="preserve">Market Context: Kuwait Kuwait City Healthcare Landscape</w:t>
      </w:r>
    </w:p>
    <w:p>
      <w:pPr>
        <w:pStyle w:val="FirstParagraph"/>
      </w:pPr>
      <w:r>
        <w:t xml:space="preserve">The healthcare market in Kuwait City represents a $4.2 billion annual opportunity with 12% YoY growth, driven by government health initiatives and private sector investment. As the economic and medical hub of Kuwait, Kuwait City hosts 70% of all major clinical trials and pharmaceutical R&amp;D activities in the country. Our Sales Report identifies that 83% of new contracts in this region require specialized medical research support for compliance and value demonstration—making the Medical Researcher role non-negotiable for competitive positioning.</w:t>
      </w:r>
    </w:p>
    <w:bookmarkEnd w:id="21"/>
    <w:bookmarkStart w:id="22" w:name="X2b4d97ccb4f27ce662faebfdcc268c8a62e47bc"/>
    <w:p>
      <w:pPr>
        <w:pStyle w:val="Heading2"/>
      </w:pPr>
      <w:r>
        <w:t xml:space="preserve">Medical Researcher Impact on Sales Performance</w:t>
      </w:r>
    </w:p>
    <w:p>
      <w:pPr>
        <w:pStyle w:val="FirstParagraph"/>
      </w:pPr>
      <w:r>
        <w:t xml:space="preserve">The deployment of our lead Medical Researcher, Dr. Fatima Al-Suwaidi, in Kuwait City has directly catalyzed a 37% increase in enterprise contract value during Q3 2023. This Sales Report quantifies the causal relationship between medical research expertise and revenue generation:</w:t>
      </w:r>
    </w:p>
    <w:p>
      <w:pPr>
        <w:numPr>
          <w:ilvl w:val="0"/>
          <w:numId w:val="1001"/>
        </w:numPr>
        <w:pStyle w:val="Compact"/>
      </w:pPr>
      <w:r>
        <w:rPr>
          <w:bCs/>
          <w:b/>
        </w:rPr>
        <w:t xml:space="preserve">Proposal Success Rate:</w:t>
      </w:r>
      <w:r>
        <w:t xml:space="preserve"> </w:t>
      </w:r>
      <w:r>
        <w:t xml:space="preserve">Increased from 41% to 76% for complex institutional deals</w:t>
      </w:r>
    </w:p>
    <w:p>
      <w:pPr>
        <w:numPr>
          <w:ilvl w:val="0"/>
          <w:numId w:val="1001"/>
        </w:numPr>
        <w:pStyle w:val="Compact"/>
      </w:pPr>
      <w:r>
        <w:t xml:space="preserve">Reduced churn by 28% through evidence-based service customization</w:t>
      </w:r>
    </w:p>
    <w:p>
      <w:pPr>
        <w:numPr>
          <w:ilvl w:val="0"/>
          <w:numId w:val="1001"/>
        </w:numPr>
        <w:pStyle w:val="Compact"/>
      </w:pPr>
      <w:r>
        <w:t xml:space="preserve">Enabled premium pricing (22% higher than market average) via clinical data validation</w:t>
      </w:r>
    </w:p>
    <w:p>
      <w:pPr>
        <w:pStyle w:val="FirstParagraph"/>
      </w:pPr>
      <w:r>
        <w:t xml:space="preserve">The Medical Researcher's ability to translate complex clinical trial data into compelling sales narratives—particularly for Kuwait City's Ministry of Health procurement processes—has been transformative. During the Al-Amal Hospital renewal negotiation, the Medical Researcher provided peer-reviewed efficacy data that secured a $1.8M contract extension where previous bids had failed.</w:t>
      </w:r>
    </w:p>
    <w:bookmarkEnd w:id="22"/>
    <w:bookmarkStart w:id="23" w:name="Xd5fecd6aa0f0ea47893901efa064019c062ba53"/>
    <w:p>
      <w:pPr>
        <w:pStyle w:val="Heading2"/>
      </w:pPr>
      <w:r>
        <w:t xml:space="preserve">Kuwait Kuwait City Sales Metrics Analysis</w:t>
      </w:r>
    </w:p>
    <w:p>
      <w:pPr>
        <w:pStyle w:val="FirstParagraph"/>
      </w:pPr>
      <w:r>
        <w:t xml:space="preserve">This Sales Report breaks down performance by key Kuwait City market segments:</w:t>
      </w:r>
    </w:p>
    <w:p>
      <w:pPr>
        <w:pStyle w:val="BodyText"/>
      </w:pPr>
      <w:r>
        <w:t xml:space="preserve">Segment</w:t>
      </w:r>
    </w:p>
    <w:p>
      <w:pPr>
        <w:pStyle w:val="BodyText"/>
      </w:pPr>
      <w:r>
        <w:t xml:space="preserve">Q3 Sales (USD)</w:t>
      </w:r>
    </w:p>
    <w:p>
      <w:pPr>
        <w:pStyle w:val="BodyText"/>
      </w:pPr>
      <w:r>
        <w:t xml:space="preserve">% Growth vs Q2</w:t>
      </w:r>
    </w:p>
    <w:p>
      <w:pPr>
        <w:pStyle w:val="BodyText"/>
      </w:pPr>
      <w:r>
        <w:t xml:space="preserve">Medical Researcher Impact Factor</w:t>
      </w:r>
    </w:p>
    <w:p>
      <w:pPr>
        <w:pStyle w:val="BodyText"/>
      </w:pPr>
      <w:r>
        <w:t xml:space="preserve">Kuwait City Public Hospitals</w:t>
      </w:r>
    </w:p>
    <w:p>
      <w:pPr>
        <w:pStyle w:val="BodyText"/>
      </w:pPr>
      <w:r>
        <w:t xml:space="preserve">$2,150,000</w:t>
      </w:r>
    </w:p>
    <w:p>
      <w:pPr>
        <w:pStyle w:val="BodyText"/>
      </w:pPr>
      <w:r>
        <w:t xml:space="preserve">44%</w:t>
      </w:r>
    </w:p>
    <w:p>
      <w:pPr>
        <w:pStyle w:val="BodyText"/>
      </w:pPr>
      <w:r>
        <w:t xml:space="preserve">Directly enabled 3/5 major contracts via FDA-equivalent compliance documentation</w:t>
      </w:r>
    </w:p>
    <w:p>
      <w:pPr>
        <w:pStyle w:val="BodyText"/>
      </w:pPr>
      <w:r>
        <w:t xml:space="preserve">Private Specialty Clinics (Cardiology/Oncology)</w:t>
      </w:r>
    </w:p>
    <w:p>
      <w:pPr>
        <w:pStyle w:val="BodyText"/>
      </w:pPr>
      <w:r>
        <w:t xml:space="preserve">$1,890,000</w:t>
      </w:r>
    </w:p>
    <w:p>
      <w:pPr>
        <w:pStyle w:val="BodyText"/>
      </w:pPr>
      <w:r>
        <w:t xml:space="preserve">32%</w:t>
      </w:r>
    </w:p>
    <w:p>
      <w:pPr>
        <w:pStyle w:val="BodyText"/>
      </w:pPr>
      <w:r>
        <w:t xml:space="preserve">Medical Researcher developed disease-specific data packages increasing average deal size by 34%</w:t>
      </w:r>
    </w:p>
    <w:p>
      <w:pPr>
        <w:pStyle w:val="BodyText"/>
      </w:pPr>
      <w:r>
        <w:t xml:space="preserve">Research Institutions (Kuwait University, KUH)</w:t>
      </w:r>
    </w:p>
    <w:p>
      <w:pPr>
        <w:pStyle w:val="BodyText"/>
      </w:pPr>
      <w:r>
        <w:t xml:space="preserve">$725,000</w:t>
      </w:r>
    </w:p>
    <w:p>
      <w:pPr>
        <w:pStyle w:val="BodyText"/>
      </w:pPr>
      <w:r>
        <w:t xml:space="preserve">61%</w:t>
      </w:r>
    </w:p>
    <w:p>
      <w:pPr>
        <w:pStyle w:val="BodyText"/>
      </w:pPr>
      <w:r>
        <w:rPr>
          <w:bCs/>
          <w:b/>
        </w:rPr>
        <w:t xml:space="preserve">Medical Researcher secured 4 new collaborative research agreements</w:t>
      </w:r>
    </w:p>
    <w:bookmarkEnd w:id="23"/>
    <w:bookmarkStart w:id="24" w:name="Xae96dd517169ff8ac7c6bf6b10cd17dfccf9dae"/>
    <w:p>
      <w:pPr>
        <w:pStyle w:val="Heading2"/>
      </w:pPr>
      <w:r>
        <w:t xml:space="preserve">Strategic Integration: Medical Researcher as Revenue Engine</w:t>
      </w:r>
    </w:p>
    <w:p>
      <w:pPr>
        <w:pStyle w:val="FirstParagraph"/>
      </w:pPr>
      <w:r>
        <w:t xml:space="preserve">Our Sales Report confirms that the Medical Researcher role has evolved beyond traditional research functions to become a strategic sales asset. In Kuwait City, where clinical evidence is mandatory for 92% of procurement decisions (per Kuwait Ministry of Health Circular No. 78/2023), this integration creates undeniable competitive advantage:</w:t>
      </w:r>
    </w:p>
    <w:p>
      <w:pPr>
        <w:pStyle w:val="BodyText"/>
      </w:pPr>
      <w:r>
        <w:t xml:space="preserve">•</w:t>
      </w:r>
      <w:r>
        <w:t xml:space="preserve"> </w:t>
      </w:r>
      <w:r>
        <w:rPr>
          <w:bCs/>
          <w:b/>
        </w:rPr>
        <w:t xml:space="preserve">Compliance Acceleration:</w:t>
      </w:r>
      <w:r>
        <w:t xml:space="preserve"> </w:t>
      </w:r>
      <w:r>
        <w:t xml:space="preserve">The Medical Researcher's local regulatory expertise reduced proposal turnaround time by 55% in Kuwait City market</w:t>
      </w:r>
    </w:p>
    <w:p>
      <w:pPr>
        <w:pStyle w:val="BodyText"/>
      </w:pPr>
      <w:r>
        <w:t xml:space="preserve">•</w:t>
      </w:r>
      <w:r>
        <w:t xml:space="preserve"> </w:t>
      </w:r>
      <w:r>
        <w:rPr>
          <w:bCs/>
          <w:b/>
        </w:rPr>
        <w:t xml:space="preserve">Tailored Value Propositions:</w:t>
      </w:r>
      <w:r>
        <w:t xml:space="preserve"> </w:t>
      </w:r>
      <w:r>
        <w:t xml:space="preserve">By analyzing Kuwait City-specific disease prevalence data (e.g., 31% diabetes rate vs. global average), the Medical Researcher crafted proposals that addressed local health priorities, directly increasing conversion rates</w:t>
      </w:r>
    </w:p>
    <w:p>
      <w:pPr>
        <w:pStyle w:val="BodyText"/>
      </w:pPr>
      <w:r>
        <w:t xml:space="preserve">•</w:t>
      </w:r>
      <w:r>
        <w:t xml:space="preserve"> </w:t>
      </w:r>
      <w:r>
        <w:rPr>
          <w:bCs/>
          <w:b/>
        </w:rPr>
        <w:t xml:space="preserve">Evidence-Based Negotiations:</w:t>
      </w:r>
      <w:r>
        <w:t xml:space="preserve"> </w:t>
      </w:r>
      <w:r>
        <w:t xml:space="preserve">During the Al-Sabah Health Network bid, the Medical Researcher presented Kuwait-specific comparative effectiveness data that justified a 25% price premium over competitors</w:t>
      </w:r>
    </w:p>
    <w:bookmarkEnd w:id="24"/>
    <w:bookmarkStart w:id="25" w:name="X357323cab8285fd64699f3b1cf1aebf1ebd7c00"/>
    <w:p>
      <w:pPr>
        <w:pStyle w:val="Heading2"/>
      </w:pPr>
      <w:r>
        <w:t xml:space="preserve">Challenges Addressed in Kuwait Kuwait City</w:t>
      </w:r>
    </w:p>
    <w:p>
      <w:pPr>
        <w:pStyle w:val="FirstParagraph"/>
      </w:pPr>
      <w:r>
        <w:t xml:space="preserve">While entering the Kuwait City market presented challenges—primarily navigating the Ministry of Health's stringent clinical evidence requirements—the Medical Researcher role directly mitigated these risks. This Sales Report documents how:</w:t>
      </w:r>
    </w:p>
    <w:p>
      <w:pPr>
        <w:numPr>
          <w:ilvl w:val="0"/>
          <w:numId w:val="1002"/>
        </w:numPr>
        <w:pStyle w:val="Compact"/>
      </w:pPr>
      <w:r>
        <w:t xml:space="preserve">Overcoming regulatory barriers through Kuwait-specific trial documentation</w:t>
      </w:r>
    </w:p>
    <w:p>
      <w:pPr>
        <w:numPr>
          <w:ilvl w:val="0"/>
          <w:numId w:val="1002"/>
        </w:numPr>
        <w:pStyle w:val="Compact"/>
      </w:pPr>
      <w:r>
        <w:t xml:space="preserve">Building credibility with local medical committees via published research (3 peer-reviewed articles co-authored by our Medical Researcher in Q3)</w:t>
      </w:r>
    </w:p>
    <w:p>
      <w:pPr>
        <w:numPr>
          <w:ilvl w:val="0"/>
          <w:numId w:val="1002"/>
        </w:numPr>
        <w:pStyle w:val="Compact"/>
      </w:pPr>
      <w:r>
        <w:t xml:space="preserve">Addressing cultural nuances in client presentations using locally validated data</w:t>
      </w:r>
    </w:p>
    <w:bookmarkEnd w:id="25"/>
    <w:bookmarkStart w:id="26" w:name="future-growth-strategy-for-kuwait-city"/>
    <w:p>
      <w:pPr>
        <w:pStyle w:val="Heading2"/>
      </w:pPr>
      <w:r>
        <w:t xml:space="preserve">Future Growth Strategy for Kuwait City</w:t>
      </w:r>
    </w:p>
    <w:p>
      <w:pPr>
        <w:pStyle w:val="FirstParagraph"/>
      </w:pPr>
      <w:r>
        <w:t xml:space="preserve">Based on this Sales Report, we recommend doubling down on the Medical Researcher model for Kuwait City expansion. Key initiatives include:</w:t>
      </w:r>
    </w:p>
    <w:p>
      <w:pPr>
        <w:numPr>
          <w:ilvl w:val="0"/>
          <w:numId w:val="1003"/>
        </w:numPr>
        <w:pStyle w:val="Compact"/>
      </w:pPr>
      <w:r>
        <w:rPr>
          <w:bCs/>
          <w:b/>
        </w:rPr>
        <w:t xml:space="preserve">Regional Medical Researcher Network:</w:t>
      </w:r>
      <w:r>
        <w:t xml:space="preserve"> </w:t>
      </w:r>
      <w:r>
        <w:t xml:space="preserve">Establishing a dedicated Kuwait City Medical Researcher team (3 additional specialists) to support 100% of enterprise sales cycles</w:t>
      </w:r>
    </w:p>
    <w:p>
      <w:pPr>
        <w:numPr>
          <w:ilvl w:val="0"/>
          <w:numId w:val="1003"/>
        </w:numPr>
        <w:pStyle w:val="Compact"/>
      </w:pPr>
      <w:r>
        <w:rPr>
          <w:bCs/>
          <w:b/>
        </w:rPr>
        <w:t xml:space="preserve">Kuwait-Specific Databank:</w:t>
      </w:r>
      <w:r>
        <w:t xml:space="preserve"> </w:t>
      </w:r>
      <w:r>
        <w:t xml:space="preserve">Creating a proprietary database of Kuwaiti clinical outcomes for faster proposal development</w:t>
      </w:r>
    </w:p>
    <w:p>
      <w:pPr>
        <w:numPr>
          <w:ilvl w:val="0"/>
          <w:numId w:val="1003"/>
        </w:numPr>
        <w:pStyle w:val="Compact"/>
      </w:pPr>
      <w:r>
        <w:rPr>
          <w:bCs/>
          <w:b/>
        </w:rPr>
        <w:t xml:space="preserve">Ministry of Health Collaboration:</w:t>
      </w:r>
      <w:r>
        <w:t xml:space="preserve"> </w:t>
      </w:r>
      <w:r>
        <w:t xml:space="preserve">Leveraging the Medical Researcher to co-develop future regulatory guidelines—positioning us as the market's research authority in Kuwait City</w:t>
      </w:r>
    </w:p>
    <w:bookmarkEnd w:id="26"/>
    <w:bookmarkStart w:id="27" w:name="Xff332e716aec8e7fc58b91426eab7cffee6da14"/>
    <w:p>
      <w:pPr>
        <w:pStyle w:val="Heading2"/>
      </w:pPr>
      <w:r>
        <w:t xml:space="preserve">Conclusion: The Medical Researcher Imperative</w:t>
      </w:r>
    </w:p>
    <w:p>
      <w:pPr>
        <w:pStyle w:val="FirstParagraph"/>
      </w:pPr>
      <w:r>
        <w:t xml:space="preserve">This Sales Report conclusively proves that the Medical Researcher is not merely an operational role but a revenue catalyst essential for success in Kuwait City. The data from our Kuwait Kuwait City operations shows that every dollar invested in this specialized position yields $6.83 in incremental sales—outperforming all other departmental investments by 290%. As healthcare innovation accelerates across the GCC region, having an embedded Medical Researcher is no longer optional; it's the foundation of sustainable market leadership.</w:t>
      </w:r>
    </w:p>
    <w:p>
      <w:pPr>
        <w:pStyle w:val="BodyText"/>
      </w:pPr>
      <w:r>
        <w:t xml:space="preserve">Our Sales Report underscores that for any company targeting medical technology and services in Kuwait City, neglecting the Medical Researcher role means ceding competitive advantage to those who understand that in healthcare sales, evidence precedes opportunity. The success metrics from Kuwait City demonstrate that when a Medical Researcher operates as an integral part of the sales strategy—not as a support function—the results transform market positioning.</w:t>
      </w:r>
    </w:p>
    <w:p>
      <w:pPr>
        <w:pStyle w:val="BodyText"/>
      </w:pPr>
      <w:r>
        <w:t xml:space="preserve">Prepared by Strategic Sales Intelligence Division • Confidential •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Performance Report: Kuwait Kuwait City Market</dc:title>
  <dc:creator/>
  <dc:language>en</dc:language>
  <cp:keywords/>
  <dcterms:created xsi:type="dcterms:W3CDTF">2026-09-28T11:46:11Z</dcterms:created>
  <dcterms:modified xsi:type="dcterms:W3CDTF">2026-09-28T11:46:11Z</dcterms:modified>
</cp:coreProperties>
</file>

<file path=docProps/custom.xml><?xml version="1.0" encoding="utf-8"?>
<Properties xmlns="http://schemas.openxmlformats.org/officeDocument/2006/custom-properties" xmlns:vt="http://schemas.openxmlformats.org/officeDocument/2006/docPropsVTypes"/>
</file>