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Report</w:t>
      </w:r>
      <w:r>
        <w:t xml:space="preserve"> </w:t>
      </w:r>
      <w:r>
        <w:t xml:space="preserve">-</w:t>
      </w:r>
      <w:r>
        <w:t xml:space="preserve"> </w:t>
      </w:r>
      <w:r>
        <w:t xml:space="preserve">Malaysia</w:t>
      </w:r>
      <w:r>
        <w:t xml:space="preserve"> </w:t>
      </w:r>
      <w:r>
        <w:t xml:space="preserve">Kuala</w:t>
      </w:r>
      <w:r>
        <w:t xml:space="preserve"> </w:t>
      </w:r>
      <w:r>
        <w:t xml:space="preserve">Lumpur</w:t>
      </w:r>
    </w:p>
    <w:bookmarkStart w:id="27" w:name="X641af378e65d6d41be5b213c2aaae77b4aa0be0"/>
    <w:p>
      <w:pPr>
        <w:pStyle w:val="Heading1"/>
      </w:pPr>
      <w:r>
        <w:t xml:space="preserve">Comprehensive Sales Report: Medical Researcher Recruitment &amp; Strategic Impact in Malaysia Kuala Lumpur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Healthcare Division</w:t>
      </w:r>
      <w:r>
        <w:br/>
      </w:r>
      <w:r>
        <w:rPr>
          <w:bCs/>
          <w:b/>
        </w:rPr>
        <w:t xml:space="preserve">Purpose:</w:t>
      </w:r>
      <w:r>
        <w:t xml:space="preserve"> </w:t>
      </w:r>
      <w:r>
        <w:t xml:space="preserve">To detail the strategic recruitment of a Medical Researcher role within the Kuala Lumpur market and its direct impact on sales pipeline development</w:t>
      </w:r>
    </w:p>
    <w:bookmarkStart w:id="20" w:name="i.-executive-summary"/>
    <w:p>
      <w:pPr>
        <w:pStyle w:val="Heading2"/>
      </w:pPr>
      <w:r>
        <w:t xml:space="preserve">I. Executive Summary</w:t>
      </w:r>
    </w:p>
    <w:p>
      <w:pPr>
        <w:pStyle w:val="FirstParagraph"/>
      </w:pPr>
      <w:r>
        <w:t xml:space="preserve">This Sales Report details the successful recruitment of a Senior Medical Researcher for our pharmaceutical operations in Malaysia Kuala Lumpur. The position was critical to accelerating clinical trial execution, enhancing regulatory submissions, and directly supporting our Q4 sales targets across Southeast Asia. Within 8 weeks of posting, we secured a candidate with 12 years' experience in ASEAN clinical research – surpassing our recruitment timeline by 30%. This strategic hire has already contributed to a 15% increase in trial enrollment rates for our Phase III oncology drug, directly influencing regional sales forecasts. The Medical Researcher role is now positioned as the cornerstone of our Malaysia Kuala Lumpur commercial strategy.</w:t>
      </w:r>
    </w:p>
    <w:bookmarkEnd w:id="20"/>
    <w:bookmarkStart w:id="21" w:name="X94c17459404edb16733dfb9d1d4e420ffb317c3"/>
    <w:p>
      <w:pPr>
        <w:pStyle w:val="Heading2"/>
      </w:pPr>
      <w:r>
        <w:t xml:space="preserve">II. Market Context: Medical Research Demand in Kuala Lumpur</w:t>
      </w:r>
    </w:p>
    <w:p>
      <w:pPr>
        <w:pStyle w:val="FirstParagraph"/>
      </w:pPr>
      <w:r>
        <w:t xml:space="preserve">Kuala Lumpur has emerged as the apex of medical research innovation in Southeast Asia, driven by government initiatives like the National Strategic Plan for Health Innovation (NSPHI) 2030 and Malaysia's status as a clinical trial hub. Our analysis confirms that 78% of multinational pharma companies now maintain R&amp;D operations in KL, with medical researcher vacancies increasing by 42% YoY. This Sales Report underscores that our Medical Researcher recruitment is not merely an operational need but a competitive sales imperative. The candidate's expertise in navigating MDA (Malaysian Drug Authority) protocols has reduced regulatory delays by 35% – directly accelerating product commercialization timelines crucial for sales velocity.</w:t>
      </w:r>
    </w:p>
    <w:bookmarkEnd w:id="21"/>
    <w:bookmarkStart w:id="22" w:name="X5a7036a67f35308fc13ae9141ba3510975e4d5f"/>
    <w:p>
      <w:pPr>
        <w:pStyle w:val="Heading2"/>
      </w:pPr>
      <w:r>
        <w:t xml:space="preserve">III. Recruitment Strategy &amp; Sales Alignment</w:t>
      </w:r>
    </w:p>
    <w:p>
      <w:pPr>
        <w:pStyle w:val="FirstParagraph"/>
      </w:pPr>
      <w:r>
        <w:t xml:space="preserve">Unlike traditional hiring, this Medical Researcher position was sold as a strategic growth opportunity to candidates. Our recruitment team emphasized three sales pillars:</w:t>
      </w:r>
    </w:p>
    <w:p>
      <w:pPr>
        <w:numPr>
          <w:ilvl w:val="0"/>
          <w:numId w:val="1001"/>
        </w:numPr>
        <w:pStyle w:val="Compact"/>
      </w:pPr>
      <w:r>
        <w:rPr>
          <w:bCs/>
          <w:b/>
        </w:rPr>
        <w:t xml:space="preserve">Sales Impact:</w:t>
      </w:r>
      <w:r>
        <w:t xml:space="preserve"> </w:t>
      </w:r>
      <w:r>
        <w:t xml:space="preserve">"Your work directly fuels $12M Q4 pipeline from Malaysia clinical trials"</w:t>
      </w:r>
    </w:p>
    <w:p>
      <w:pPr>
        <w:numPr>
          <w:ilvl w:val="0"/>
          <w:numId w:val="1001"/>
        </w:numPr>
        <w:pStyle w:val="Compact"/>
      </w:pPr>
      <w:r>
        <w:rPr>
          <w:bCs/>
          <w:b/>
        </w:rPr>
        <w:t xml:space="preserve">Market Differentiation:</w:t>
      </w:r>
      <w:r>
        <w:t xml:space="preserve"> </w:t>
      </w:r>
      <w:r>
        <w:t xml:space="preserve">"Lead research in KL's only GCP-certified oncology trial center"</w:t>
      </w:r>
    </w:p>
    <w:p>
      <w:pPr>
        <w:numPr>
          <w:ilvl w:val="0"/>
          <w:numId w:val="1001"/>
        </w:numPr>
        <w:pStyle w:val="Compact"/>
      </w:pPr>
      <w:r>
        <w:rPr>
          <w:bCs/>
          <w:b/>
        </w:rPr>
        <w:t xml:space="preserve">Career Acceleration:</w:t>
      </w:r>
      <w:r>
        <w:t xml:space="preserve"> </w:t>
      </w:r>
      <w:r>
        <w:t xml:space="preserve">"Positioned for regional director role upon successful trial launch"</w:t>
      </w:r>
    </w:p>
    <w:p>
      <w:pPr>
        <w:pStyle w:val="FirstParagraph"/>
      </w:pPr>
      <w:r>
        <w:t xml:space="preserve">This approach transformed the Medical Researcher recruitment from a routine HR activity into a strategic sales initiative. We leveraged KL's biotech ecosystem – partnering with AstraZeneca Malaysia, University of Malaya, and MDEC (Malaysia Digital Economy Corporation) to source candidates. The result? 47 qualified applicants versus our target of 25, demonstrating strong market interest in the role's commercial impact.</w:t>
      </w:r>
    </w:p>
    <w:bookmarkEnd w:id="22"/>
    <w:bookmarkStart w:id="23" w:name="X9781574f0dc0d19a39bb4f8655b90224fa189b7"/>
    <w:p>
      <w:pPr>
        <w:pStyle w:val="Heading2"/>
      </w:pPr>
      <w:r>
        <w:t xml:space="preserve">IV. Medical Researcher Role: Sales-Driven Responsibilities</w:t>
      </w:r>
    </w:p>
    <w:p>
      <w:pPr>
        <w:pStyle w:val="FirstParagraph"/>
      </w:pPr>
      <w:r>
        <w:t xml:space="preserve">The appointed Medical Researcher is structured to generate immediate sales outcomes through:</w:t>
      </w:r>
    </w:p>
    <w:p>
      <w:pPr>
        <w:numPr>
          <w:ilvl w:val="0"/>
          <w:numId w:val="1002"/>
        </w:numPr>
        <w:pStyle w:val="Compact"/>
      </w:pPr>
      <w:r>
        <w:rPr>
          <w:bCs/>
          <w:b/>
        </w:rPr>
        <w:t xml:space="preserve">Accelerated Trial Execution:</w:t>
      </w:r>
      <w:r>
        <w:t xml:space="preserve"> </w:t>
      </w:r>
      <w:r>
        <w:t xml:space="preserve">Reducing patient recruitment timelines from 8 months to 5 months for our new immunotherapy drug (NCT05123478), directly enabling earlier market entry and sales ramp-up.</w:t>
      </w:r>
    </w:p>
    <w:p>
      <w:pPr>
        <w:numPr>
          <w:ilvl w:val="0"/>
          <w:numId w:val="1002"/>
        </w:numPr>
        <w:pStyle w:val="Compact"/>
      </w:pPr>
      <w:r>
        <w:rPr>
          <w:bCs/>
          <w:b/>
        </w:rPr>
        <w:t xml:space="preserve">Regulatory Sales Enablement:</w:t>
      </w:r>
      <w:r>
        <w:t xml:space="preserve"> </w:t>
      </w:r>
      <w:r>
        <w:t xml:space="preserve">Preparing MDA submissions that comply with Malaysia Kuala Lumpur's stringent post-marketing surveillance requirements – eliminating 6-week delays in product launch.</w:t>
      </w:r>
    </w:p>
    <w:p>
      <w:pPr>
        <w:numPr>
          <w:ilvl w:val="0"/>
          <w:numId w:val="1002"/>
        </w:numPr>
        <w:pStyle w:val="Compact"/>
      </w:pPr>
      <w:r>
        <w:rPr>
          <w:bCs/>
          <w:b/>
        </w:rPr>
        <w:t xml:space="preserve">Clinical Evidence for Sales Teams:</w:t>
      </w:r>
      <w:r>
        <w:t xml:space="preserve"> </w:t>
      </w:r>
      <w:r>
        <w:t xml:space="preserve">Generating real-world evidence data to support HCP (Healthcare Professional) training programs, directly increasing physician adoption rates by 22% in KL hospitals.</w:t>
      </w:r>
    </w:p>
    <w:p>
      <w:pPr>
        <w:numPr>
          <w:ilvl w:val="0"/>
          <w:numId w:val="1002"/>
        </w:numPr>
        <w:pStyle w:val="Compact"/>
      </w:pPr>
      <w:r>
        <w:rPr>
          <w:bCs/>
          <w:b/>
        </w:rPr>
        <w:t xml:space="preserve">Competitive Intelligence:</w:t>
      </w:r>
      <w:r>
        <w:t xml:space="preserve"> </w:t>
      </w:r>
      <w:r>
        <w:t xml:space="preserve">Monitoring competitor trial pipelines in Malaysia to identify sales gaps – recently uncovered a rival's delayed Phase II trial, allowing us to secure 3 major hospital contracts ahead of schedule.</w:t>
      </w:r>
    </w:p>
    <w:bookmarkEnd w:id="23"/>
    <w:bookmarkStart w:id="24" w:name="v.-quantifiable-sales-impact-q3-q4-2023"/>
    <w:p>
      <w:pPr>
        <w:pStyle w:val="Heading2"/>
      </w:pPr>
      <w:r>
        <w:t xml:space="preserve">V. Quantifiable Sales Impact (Q3-Q4 2023)</w:t>
      </w:r>
    </w:p>
    <w:p>
      <w:pPr>
        <w:pStyle w:val="FirstParagraph"/>
      </w:pPr>
      <w:r>
        <w:t xml:space="preserve">The Medical Researcher's contributions have already delivered measurable sales outcomes:</w:t>
      </w:r>
    </w:p>
    <w:p>
      <w:pPr>
        <w:pStyle w:val="BodyText"/>
      </w:pPr>
      <w:r>
        <w:t xml:space="preserve">Initiative</w:t>
      </w:r>
    </w:p>
    <w:p>
      <w:pPr>
        <w:pStyle w:val="BodyText"/>
      </w:pPr>
      <w:r>
        <w:t xml:space="preserve">Before Hire (Q2)</w:t>
      </w:r>
    </w:p>
    <w:p>
      <w:pPr>
        <w:pStyle w:val="BodyText"/>
      </w:pPr>
      <w:r>
        <w:t xml:space="preserve">After Hire (Q3)</w:t>
      </w:r>
    </w:p>
    <w:p>
      <w:pPr>
        <w:pStyle w:val="BodyText"/>
      </w:pPr>
      <w:r>
        <w:t xml:space="preserve">Impact</w:t>
      </w:r>
    </w:p>
    <w:p>
      <w:pPr>
        <w:pStyle w:val="BodyText"/>
      </w:pPr>
      <w:r>
        <w:t xml:space="preserve">Trial Enrollment Rate</w:t>
      </w:r>
    </w:p>
    <w:p>
      <w:pPr>
        <w:pStyle w:val="BodyText"/>
      </w:pPr>
      <w:r>
        <w:t xml:space="preserve">4.2 patients/month</w:t>
      </w:r>
    </w:p>
    <w:p>
      <w:pPr>
        <w:pStyle w:val="BodyText"/>
      </w:pPr>
      <w:r>
        <w:t xml:space="preserve">5.8 patients/month</w:t>
      </w:r>
    </w:p>
    <w:p>
      <w:pPr>
        <w:pStyle w:val="BodyText"/>
      </w:pPr>
      <w:r>
        <w:t xml:space="preserve">+38% → 90-day faster market entry</w:t>
      </w:r>
    </w:p>
    <w:p>
      <w:pPr>
        <w:pStyle w:val="BodyText"/>
      </w:pPr>
      <w:r>
        <w:t xml:space="preserve">MDA Submission Turnaround</w:t>
      </w:r>
    </w:p>
    <w:p>
      <w:pPr>
        <w:pStyle w:val="BodyText"/>
      </w:pPr>
      <w:r>
        <w:t xml:space="preserve">67 days45 days (19% reduction)</w:t>
      </w:r>
    </w:p>
    <w:p>
      <w:pPr>
        <w:pStyle w:val="BodyText"/>
      </w:pPr>
      <w:r>
        <w:t xml:space="preserve">Hospital Contract Wins (KL)</w:t>
      </w:r>
    </w:p>
    <w:p>
      <w:pPr>
        <w:pStyle w:val="BodyText"/>
      </w:pPr>
      <w:r>
        <w:t xml:space="preserve">2 contracts ($1.8M value)</w:t>
      </w:r>
    </w:p>
    <w:p>
      <w:pPr>
        <w:pStyle w:val="BodyText"/>
      </w:pPr>
      <w:r>
        <w:t xml:space="preserve">5 contracts ($4.7M value)</w:t>
      </w:r>
    </w:p>
    <w:p>
      <w:pPr>
        <w:pStyle w:val="BodyText"/>
      </w:pPr>
      <w:r>
        <w:t xml:space="preserve">+161% revenue</w:t>
      </w:r>
    </w:p>
    <w:p>
      <w:pPr>
        <w:pStyle w:val="BodyText"/>
      </w:pPr>
      <w:r>
        <w:t xml:space="preserve">Physician Adoption Rate42%64%+22 points in sales pipeline</w:t>
      </w:r>
    </w:p>
    <w:bookmarkEnd w:id="24"/>
    <w:bookmarkStart w:id="25" w:name="X2d425afedf26219fb79147d3bac007d05482b6b"/>
    <w:p>
      <w:pPr>
        <w:pStyle w:val="Heading2"/>
      </w:pPr>
      <w:r>
        <w:t xml:space="preserve">VI. Future Sales Roadmap: Medical Researcher as Growth Engine</w:t>
      </w:r>
    </w:p>
    <w:p>
      <w:pPr>
        <w:pStyle w:val="FirstParagraph"/>
      </w:pPr>
      <w:r>
        <w:t xml:space="preserve">This Sales Report confirms that the Medical Researcher role must evolve beyond clinical operations into a strategic sales catalyst. Our proposed 2024 plan includes:</w:t>
      </w:r>
    </w:p>
    <w:p>
      <w:pPr>
        <w:numPr>
          <w:ilvl w:val="0"/>
          <w:numId w:val="1003"/>
        </w:numPr>
        <w:pStyle w:val="Compact"/>
      </w:pPr>
      <w:r>
        <w:rPr>
          <w:bCs/>
          <w:b/>
        </w:rPr>
        <w:t xml:space="preserve">KL-Based Clinical Data Center:</w:t>
      </w:r>
      <w:r>
        <w:t xml:space="preserve"> </w:t>
      </w:r>
      <w:r>
        <w:t xml:space="preserve">Establishing the first ASEAN medical research hub in Kuala Lumpur to centralize data for global sales teams – projected to reduce market entry costs by 28%.</w:t>
      </w:r>
    </w:p>
    <w:p>
      <w:pPr>
        <w:numPr>
          <w:ilvl w:val="0"/>
          <w:numId w:val="1003"/>
        </w:numPr>
        <w:pStyle w:val="Compact"/>
      </w:pPr>
      <w:r>
        <w:rPr>
          <w:bCs/>
          <w:b/>
        </w:rPr>
        <w:t xml:space="preserve">Sales Integration Framework:</w:t>
      </w:r>
      <w:r>
        <w:t xml:space="preserve"> </w:t>
      </w:r>
      <w:r>
        <w:t xml:space="preserve">Co-locating Medical Researcher with Sales Leadership at our KL headquarters to enable real-time commercial strategy adjustments based on trial insights.</w:t>
      </w:r>
    </w:p>
    <w:p>
      <w:pPr>
        <w:numPr>
          <w:ilvl w:val="0"/>
          <w:numId w:val="1003"/>
        </w:numPr>
        <w:pStyle w:val="Compact"/>
      </w:pPr>
      <w:r>
        <w:rPr>
          <w:bCs/>
          <w:b/>
        </w:rPr>
        <w:t xml:space="preserve">Talent Pipeline Development:</w:t>
      </w:r>
      <w:r>
        <w:t xml:space="preserve"> </w:t>
      </w:r>
      <w:r>
        <w:t xml:space="preserve">Partnering with University of Kuala Lumpur to create a Medical Researcher "Sales Acceleration Program" – targeting 10 new talent recruits annually for Malaysia's growing pharma market.</w:t>
      </w:r>
    </w:p>
    <w:bookmarkEnd w:id="25"/>
    <w:bookmarkStart w:id="26" w:name="vii.-conclusion-the-strategic-imperative"/>
    <w:p>
      <w:pPr>
        <w:pStyle w:val="Heading2"/>
      </w:pPr>
      <w:r>
        <w:t xml:space="preserve">VII. Conclusion: The Strategic Imperative</w:t>
      </w:r>
    </w:p>
    <w:p>
      <w:pPr>
        <w:pStyle w:val="FirstParagraph"/>
      </w:pPr>
      <w:r>
        <w:t xml:space="preserve">The recruitment and deployment of our Medical Researcher in Malaysia Kuala Lumpur represents a paradigm shift in how we leverage scientific expertise to drive commercial outcomes. This Sales Report conclusively demonstrates that the role is no longer a support function but the primary engine for sales growth in our Southeast Asian market. The candidate's ability to bridge clinical research with commercial strategy has delivered immediate ROI through faster product launches, increased hospital partnerships, and enhanced physician trust – all critical for sales success in Malaysia's competitive healthcare landscape.</w:t>
      </w:r>
    </w:p>
    <w:p>
      <w:pPr>
        <w:pStyle w:val="BodyText"/>
      </w:pPr>
      <w:r>
        <w:t xml:space="preserve">As we expand our operations across ASEAN, the Medical Researcher role in Kuala Lumpur will serve as our model for integrating scientific excellence with revenue generation. We recommend budgeting 15% of regional R&amp;D funds toward this strategic hire to maintain our sales leadership position in Malaysia Kuala Lumpur and beyond.</w:t>
      </w:r>
    </w:p>
    <w:p>
      <w:pPr>
        <w:pStyle w:val="BodyText"/>
      </w:pPr>
      <w:r>
        <w:rPr>
          <w:bCs/>
          <w:b/>
        </w:rPr>
        <w:t xml:space="preserve">Prepared By:</w:t>
      </w:r>
      <w:r>
        <w:t xml:space="preserve"> </w:t>
      </w:r>
      <w:r>
        <w:t xml:space="preserve">Global Sales Strategy Division</w:t>
      </w:r>
      <w:r>
        <w:br/>
      </w:r>
      <w:r>
        <w:rPr>
          <w:bCs/>
          <w:b/>
        </w:rPr>
        <w:t xml:space="preserve">Contact:</w:t>
      </w:r>
      <w:r>
        <w:t xml:space="preserve"> </w:t>
      </w:r>
      <w:r>
        <w:t xml:space="preserve">john.research@pharmaasia.com | +603 1234 5678</w:t>
      </w:r>
      <w:r>
        <w:br/>
      </w:r>
      <w:r>
        <w:rPr>
          <w:iCs/>
          <w:i/>
        </w:rPr>
        <w:t xml:space="preserve">This report is confidential and proprietary to PharmaAsia International. Distribution restricted to authorized personnel in Malaysia Kuala Lumpur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Report - Malaysia Kuala Lumpur</dc:title>
  <dc:creator/>
  <dc:language>en</dc:language>
  <cp:keywords/>
  <dcterms:created xsi:type="dcterms:W3CDTF">2026-07-24T12:38:56Z</dcterms:created>
  <dcterms:modified xsi:type="dcterms:W3CDTF">2026-07-24T12:38:56Z</dcterms:modified>
</cp:coreProperties>
</file>

<file path=docProps/custom.xml><?xml version="1.0" encoding="utf-8"?>
<Properties xmlns="http://schemas.openxmlformats.org/officeDocument/2006/custom-properties" xmlns:vt="http://schemas.openxmlformats.org/officeDocument/2006/docPropsVTypes"/>
</file>