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Medical</w:t>
      </w:r>
      <w:r>
        <w:t xml:space="preserve"> </w:t>
      </w:r>
      <w:r>
        <w:t xml:space="preserve">Researcher</w:t>
      </w:r>
      <w:r>
        <w:t xml:space="preserve"> </w:t>
      </w:r>
      <w:r>
        <w:t xml:space="preserve">Solutions</w:t>
      </w:r>
      <w:r>
        <w:t xml:space="preserve"> </w:t>
      </w:r>
      <w:r>
        <w:t xml:space="preserve">in</w:t>
      </w:r>
      <w:r>
        <w:t xml:space="preserve"> </w:t>
      </w:r>
      <w:r>
        <w:t xml:space="preserve">Mexico</w:t>
      </w:r>
      <w:r>
        <w:t xml:space="preserve"> </w:t>
      </w:r>
      <w:r>
        <w:t xml:space="preserve">City</w:t>
      </w:r>
    </w:p>
    <w:bookmarkStart w:id="26" w:name="Xc1eb1e49f0db78636822f5e27a73e94fd09234c"/>
    <w:p>
      <w:pPr>
        <w:pStyle w:val="Heading1"/>
      </w:pPr>
      <w:r>
        <w:t xml:space="preserve">Sales Report: Medical Researcher Solutions in Mexico City</w:t>
      </w:r>
    </w:p>
    <w:p>
      <w:pPr>
        <w:pStyle w:val="FirstParagraph"/>
      </w:pPr>
      <w:r>
        <w:t xml:space="preserve">This comprehensive Sales Report details the performance of our medical research technology solutions across the dynamic healthcare landscape of Mexico City, Mexico. As a leading provider of advanced medical research tools and analytics platforms, we have witnessed remarkable growth in our partnership with scientific professionals operating within one of Latin America's most vibrant research hubs. This document presents key insights from Q1 2023 to Q3 2024, highlighting strategic opportunities and performance metrics critical to our expansion in Mexico City.</w:t>
      </w:r>
    </w:p>
    <w:bookmarkStart w:id="20" w:name="Xf58b5d3afa4a5f8831725e4b6c62689df207db1"/>
    <w:p>
      <w:pPr>
        <w:pStyle w:val="Heading2"/>
      </w:pPr>
      <w:r>
        <w:t xml:space="preserve">Market Context: Medical Researcher Demand in Mexico City</w:t>
      </w:r>
    </w:p>
    <w:p>
      <w:pPr>
        <w:pStyle w:val="FirstParagraph"/>
      </w:pPr>
      <w:r>
        <w:t xml:space="preserve">Mexico City represents the epicenter of medical innovation in Latin America, housing over 65% of Mexico's pharmaceutical research institutions and hosting 34 major clinical trial centers. The demand for specialized Medical Researcher talent has surged by 37% YoY, driven by increased FDA-equivalent regulatory approvals and private sector investments in oncology, infectious disease, and genetic therapies. Our Sales Report confirms that local Medical Researchers are increasingly prioritizing data-driven research platforms—making our analytics suite a strategic solution. In Mexico City alone, we've secured partnerships with 18 institutions including the National Institute of Medical Sciences and Nutrition Salvador Zubirán (INCMNSZ) and the Autonomous University of Mexico City (UNAM), where researchers consistently cite our platform as "transformative" for study efficiency.</w:t>
      </w:r>
    </w:p>
    <w:bookmarkEnd w:id="20"/>
    <w:bookmarkStart w:id="21" w:name="X4129a43f543e659466caf61991059ddf3323249"/>
    <w:p>
      <w:pPr>
        <w:pStyle w:val="Heading2"/>
      </w:pPr>
      <w:r>
        <w:t xml:space="preserve">Performance Highlights: Sales Report Metrics</w:t>
      </w:r>
    </w:p>
    <w:p>
      <w:pPr>
        <w:pStyle w:val="FirstParagraph"/>
      </w:pPr>
      <w:r>
        <w:t xml:space="preserve">The Sales Report reveals a 64% year-over-year revenue increase in Mexico City, totaling $8.7M across Q1–Q3 2024. This growth stems from three key initiatives:</w:t>
      </w:r>
    </w:p>
    <w:p>
      <w:pPr>
        <w:numPr>
          <w:ilvl w:val="0"/>
          <w:numId w:val="1001"/>
        </w:numPr>
        <w:pStyle w:val="Compact"/>
      </w:pPr>
      <w:r>
        <w:rPr>
          <w:bCs/>
          <w:b/>
        </w:rPr>
        <w:t xml:space="preserve">Enterprise Contracts:</w:t>
      </w:r>
      <w:r>
        <w:t xml:space="preserve"> </w:t>
      </w:r>
      <w:r>
        <w:t xml:space="preserve">Secured exclusive agreements with 5 major pharmaceutical firms (including Bayer Mexico and GSK Latin America) for our AI-driven clinical trial management software, representing $4.1M in recurring revenue.</w:t>
      </w:r>
    </w:p>
    <w:p>
      <w:pPr>
        <w:numPr>
          <w:ilvl w:val="0"/>
          <w:numId w:val="1001"/>
        </w:numPr>
        <w:pStyle w:val="Compact"/>
      </w:pPr>
      <w:r>
        <w:rPr>
          <w:bCs/>
          <w:b/>
        </w:rPr>
        <w:t xml:space="preserve">Academic Partnerships:</w:t>
      </w:r>
      <w:r>
        <w:t xml:space="preserve"> </w:t>
      </w:r>
      <w:r>
        <w:t xml:space="preserve">Deployed our research analytics platform across 12 universities in Mexico City, generating $2.3M through licensing agreements with Medical Researcher teams at institutions like the National Center for Research and Teaching on Oncology (CINVESTAV).</w:t>
      </w:r>
    </w:p>
    <w:p>
      <w:pPr>
        <w:numPr>
          <w:ilvl w:val="0"/>
          <w:numId w:val="1001"/>
        </w:numPr>
        <w:pStyle w:val="Compact"/>
      </w:pPr>
      <w:r>
        <w:rPr>
          <w:bCs/>
          <w:b/>
        </w:rPr>
        <w:t xml:space="preserve">Government Health Initiatives:</w:t>
      </w:r>
      <w:r>
        <w:t xml:space="preserve"> </w:t>
      </w:r>
      <w:r>
        <w:t xml:space="preserve">Supported Mexico's Ministry of Health's "Research Acceleration Program" with a $1.9M contract for real-time disease surveillance tools, directly serving 450+ Medical Researchers in public health facilities.</w:t>
      </w:r>
    </w:p>
    <w:p>
      <w:pPr>
        <w:pStyle w:val="FirstParagraph"/>
      </w:pPr>
      <w:r>
        <w:t xml:space="preserve">Notably, our customer retention rate reached 92% among Mexico City-based Medical Researcher clients—exceeding the industry average by 28%. This is largely attributed to our localized support model: all technical assistance is provided in Spanish by Mexico City-based specialists who understand regional research protocols. One key client, Dr. Elena Márquez of INCMNSZ, stated: "Their platform cut our data processing time by 70% during the dengue fever study—critical for a Medical Researcher working under tight deadlines."</w:t>
      </w:r>
    </w:p>
    <w:bookmarkEnd w:id="21"/>
    <w:bookmarkStart w:id="22" w:name="Xc249f7669a2cc4d02914b033891dc49d3d270a1"/>
    <w:p>
      <w:pPr>
        <w:pStyle w:val="Heading2"/>
      </w:pPr>
      <w:r>
        <w:t xml:space="preserve">Challenges in Mexico City's Market Landscape</w:t>
      </w:r>
    </w:p>
    <w:p>
      <w:pPr>
        <w:pStyle w:val="FirstParagraph"/>
      </w:pPr>
      <w:r>
        <w:t xml:space="preserve">Despite strong momentum, our Sales Report identifies critical challenges specific to Mexico City. Infrastructure limitations remain impactful: 41% of researchers cited unreliable broadband as a barrier to cloud-based analytics access during peak data-gathering seasons. In response, we deployed offline-capable mobile modules in Q2 2024, reducing technical failures by 68%. Additionally, regulatory complexity—particularly the COFEPRIS (Mexican health authority) approval process for new tools—required us to dedicate two Mexico City-based compliance officers to streamline documentation. This investment accelerated our sales cycle from 157 to 92 days in Mexico City.</w:t>
      </w:r>
    </w:p>
    <w:p>
      <w:pPr>
        <w:pStyle w:val="BodyText"/>
      </w:pPr>
      <w:r>
        <w:t xml:space="preserve">Another challenge was talent acquisition. As Medical Researcher roles surge, we faced a 30% increase in competition for qualified Spanish-speaking technical staff. Our solution involved partnering with Mexico City's IT Institute (ITAM) for specialized training programs, resulting in a 45% faster onboarding of local support teams.</w:t>
      </w:r>
    </w:p>
    <w:bookmarkEnd w:id="22"/>
    <w:bookmarkStart w:id="23" w:name="X35c15f2d61e83cdd3cccaafe842b73f9ed21838"/>
    <w:p>
      <w:pPr>
        <w:pStyle w:val="Heading2"/>
      </w:pPr>
      <w:r>
        <w:t xml:space="preserve">Strategic Recommendations for Mexico City</w:t>
      </w:r>
    </w:p>
    <w:p>
      <w:pPr>
        <w:pStyle w:val="FirstParagraph"/>
      </w:pPr>
      <w:r>
        <w:t xml:space="preserve">Based on this Sales Report, we recommend three priorities to capitalize on Mexico City's growth potential:</w:t>
      </w:r>
    </w:p>
    <w:p>
      <w:pPr>
        <w:numPr>
          <w:ilvl w:val="0"/>
          <w:numId w:val="1002"/>
        </w:numPr>
        <w:pStyle w:val="Compact"/>
      </w:pPr>
      <w:r>
        <w:rPr>
          <w:bCs/>
          <w:b/>
        </w:rPr>
        <w:t xml:space="preserve">Localized Data Centers:</w:t>
      </w:r>
      <w:r>
        <w:t xml:space="preserve"> </w:t>
      </w:r>
      <w:r>
        <w:t xml:space="preserve">Establish a dedicated server facility in Mexico City’s TECNOLOGÍCO district by Q1 2025. This will address latency issues for Medical Researchers working with real-time genomic data, directly supporting the city's $2.1B biotech sector expansion.</w:t>
      </w:r>
    </w:p>
    <w:p>
      <w:pPr>
        <w:numPr>
          <w:ilvl w:val="0"/>
          <w:numId w:val="1002"/>
        </w:numPr>
        <w:pStyle w:val="Compact"/>
      </w:pPr>
      <w:r>
        <w:rPr>
          <w:bCs/>
          <w:b/>
        </w:rPr>
        <w:t xml:space="preserve">Researcher Certification Program:</w:t>
      </w:r>
      <w:r>
        <w:t xml:space="preserve"> </w:t>
      </w:r>
      <w:r>
        <w:t xml:space="preserve">Launch a free, accredited training initiative co-developed with UNAM to certify Medical Researchers in our platform’s advanced analytics—projected to increase adoption by 35% while strengthening client relationships.</w:t>
      </w:r>
    </w:p>
    <w:p>
      <w:pPr>
        <w:numPr>
          <w:ilvl w:val="0"/>
          <w:numId w:val="1002"/>
        </w:numPr>
        <w:pStyle w:val="Compact"/>
      </w:pPr>
      <w:r>
        <w:rPr>
          <w:bCs/>
          <w:b/>
        </w:rPr>
        <w:t xml:space="preserve">Cross-Sector Alliances:</w:t>
      </w:r>
      <w:r>
        <w:t xml:space="preserve"> </w:t>
      </w:r>
      <w:r>
        <w:t xml:space="preserve">Forge partnerships with Mexico City’s emerging health tech incubators (e.g., BioMexico) to integrate our solutions into early-stage startup ecosystems, targeting the 200+ new biotech ventures operating in the city.</w:t>
      </w:r>
    </w:p>
    <w:bookmarkEnd w:id="23"/>
    <w:bookmarkStart w:id="24" w:name="Xfd48bee8ca21d92adf0aa442b169d100e154dd7"/>
    <w:p>
      <w:pPr>
        <w:pStyle w:val="Heading2"/>
      </w:pPr>
      <w:r>
        <w:t xml:space="preserve">Future Outlook: Mexico City as a Regional Catalyst</w:t>
      </w:r>
    </w:p>
    <w:p>
      <w:pPr>
        <w:pStyle w:val="FirstParagraph"/>
      </w:pPr>
      <w:r>
        <w:t xml:space="preserve">Mexico City’s trajectory positions it as a model for medical research commercialization across Latin America. Our Sales Report projects 50% revenue growth in this market by 2025, driven by three converging trends:</w:t>
      </w:r>
    </w:p>
    <w:p>
      <w:pPr>
        <w:numPr>
          <w:ilvl w:val="0"/>
          <w:numId w:val="1003"/>
        </w:numPr>
        <w:pStyle w:val="Compact"/>
      </w:pPr>
      <w:r>
        <w:t xml:space="preserve">The Mexican government’s $475M "Research Acceleration Fund" targeting Mexico City institutions.</w:t>
      </w:r>
    </w:p>
    <w:p>
      <w:pPr>
        <w:numPr>
          <w:ilvl w:val="0"/>
          <w:numId w:val="1003"/>
        </w:numPr>
        <w:pStyle w:val="Compact"/>
      </w:pPr>
      <w:r>
        <w:t xml:space="preserve">A surge in Medical Researcher hiring (projected +32% annually) fueled by new biomanufacturing plants in the city’s industrial zones.</w:t>
      </w:r>
    </w:p>
    <w:p>
      <w:pPr>
        <w:numPr>
          <w:ilvl w:val="0"/>
          <w:numId w:val="1003"/>
        </w:numPr>
        <w:pStyle w:val="Compact"/>
      </w:pPr>
      <w:r>
        <w:t xml:space="preserve">Increased collaboration between U.S. research firms and Mexico City labs under USMCA provisions, creating demand for standardized digital platforms.</w:t>
      </w:r>
    </w:p>
    <w:p>
      <w:pPr>
        <w:pStyle w:val="FirstParagraph"/>
      </w:pPr>
      <w:r>
        <w:t xml:space="preserve">As the premier Sales Report for our medical research solutions, this analysis underscores that Mexico City isn't just a market—it's an innovation catalyst. For Medical Researchers operating here, our technology delivers not just tools but competitive advantage in a region where every month of accelerated research translates to lives saved and regulatory milestones achieved. We remain committed to embedding ourselves deeper into Mexico City’s scientific fabric, ensuring our solutions evolve alongside the city’s most ambitious Medical Researcher teams.</w:t>
      </w:r>
    </w:p>
    <w:bookmarkEnd w:id="24"/>
    <w:bookmarkStart w:id="25" w:name="conclusion"/>
    <w:p>
      <w:pPr>
        <w:pStyle w:val="Heading2"/>
      </w:pPr>
      <w:r>
        <w:t xml:space="preserve">Conclusion</w:t>
      </w:r>
    </w:p>
    <w:p>
      <w:pPr>
        <w:pStyle w:val="FirstParagraph"/>
      </w:pPr>
      <w:r>
        <w:t xml:space="preserve">This Sales Report confirms that Mexico City represents one of our highest-potential markets globally, with its unique blend of academic rigor, government support, and entrepreneurial energy. The sustained growth in Medical Researcher adoption—evidenced by 89% client satisfaction scores in Mexico City—validates our localized strategy. Moving forward, we will channel resources into enhancing platform interoperability with Mexican healthcare systems while maintaining our core commitment: enabling Medical Researchers to transform data into medical breakthroughs, one solution at a time.</w:t>
      </w:r>
    </w:p>
    <w:p>
      <w:pPr>
        <w:pStyle w:val="BodyText"/>
      </w:pPr>
      <w:r>
        <w:rPr>
          <w:bCs/>
          <w:b/>
        </w:rPr>
        <w:t xml:space="preserve">Prepared for:</w:t>
      </w:r>
      <w:r>
        <w:t xml:space="preserve"> </w:t>
      </w:r>
      <w:r>
        <w:t xml:space="preserve">Global Sales Leadership Team</w:t>
      </w:r>
    </w:p>
    <w:p>
      <w:pPr>
        <w:pStyle w:val="BodyText"/>
      </w:pPr>
      <w:r>
        <w:rPr>
          <w:bCs/>
          <w:b/>
        </w:rPr>
        <w:t xml:space="preserve">Date:</w:t>
      </w:r>
      <w:r>
        <w:t xml:space="preserve"> </w:t>
      </w:r>
      <w:r>
        <w:t xml:space="preserve">October 26, 2024</w:t>
      </w:r>
    </w:p>
    <w:p>
      <w:pPr>
        <w:pStyle w:val="BodyText"/>
      </w:pPr>
      <w:r>
        <w:rPr>
          <w:iCs/>
          <w:i/>
        </w:rPr>
        <w:t xml:space="preserve">This document is classified as internal use only. All data sources verified through Mexico City-based field teams and institutional partnerships.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Medical Researcher Solutions in Mexico City</dc:title>
  <dc:creator/>
  <dc:language>en</dc:language>
  <cp:keywords/>
  <dcterms:created xsi:type="dcterms:W3CDTF">2026-07-24T13:25:40Z</dcterms:created>
  <dcterms:modified xsi:type="dcterms:W3CDTF">2026-07-24T13:25:40Z</dcterms:modified>
</cp:coreProperties>
</file>

<file path=docProps/custom.xml><?xml version="1.0" encoding="utf-8"?>
<Properties xmlns="http://schemas.openxmlformats.org/officeDocument/2006/custom-properties" xmlns:vt="http://schemas.openxmlformats.org/officeDocument/2006/docPropsVTypes"/>
</file>