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Performance</w:t>
      </w:r>
      <w:r>
        <w:t xml:space="preserve"> </w:t>
      </w:r>
      <w:r>
        <w:t xml:space="preserve">in</w:t>
      </w:r>
      <w:r>
        <w:t xml:space="preserve"> </w:t>
      </w:r>
      <w:r>
        <w:t xml:space="preserve">Morocco</w:t>
      </w:r>
      <w:r>
        <w:t xml:space="preserve"> </w:t>
      </w:r>
      <w:r>
        <w:t xml:space="preserve">Casablanca</w:t>
      </w:r>
    </w:p>
    <w:bookmarkStart w:id="27" w:name="Xe057a18d12f1744ba9754464daff2840f4d3e11"/>
    <w:p>
      <w:pPr>
        <w:pStyle w:val="Heading1"/>
      </w:pPr>
      <w:r>
        <w:t xml:space="preserve">Comprehensive Sales Report: Medical Researcher Performance Analysis - Morocco Casablanca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Management |</w:t>
      </w:r>
      <w:r>
        <w:t xml:space="preserve"> </w:t>
      </w:r>
      <w:r>
        <w:rPr>
          <w:bCs/>
          <w:b/>
        </w:rPr>
        <w:t xml:space="preserve">Report Period:</w:t>
      </w:r>
      <w:r>
        <w:t xml:space="preserve"> </w:t>
      </w:r>
      <w:r>
        <w:t xml:space="preserve">Q3 2023</w:t>
      </w:r>
    </w:p>
    <w:bookmarkStart w:id="20" w:name="executive-summary"/>
    <w:p>
      <w:pPr>
        <w:pStyle w:val="Heading2"/>
      </w:pPr>
      <w:r>
        <w:t xml:space="preserve">Executive Summary</w:t>
      </w:r>
    </w:p>
    <w:p>
      <w:pPr>
        <w:pStyle w:val="FirstParagraph"/>
      </w:pPr>
      <w:r>
        <w:t xml:space="preserve">This Sales Report details the performance of our Medical Researcher team operating within the dynamic pharmaceutical and clinical research landscape of Morocco Casablanca. The report confirms that our Medical Researcher initiatives have driven a 17.8% year-over-year growth in key therapeutic areas, significantly outperforming regional benchmarks. As the economic capital of Morocco, Casablanca remains pivotal for medical innovation, with our team securing 12 new hospital partnerships and expanding market share by 9% across oncology and cardiovascular segments. This document serves as a critical performance benchmark for the Medical Researcher role within Morocco Casablanca's evolving healthcare ecosystem.</w:t>
      </w:r>
    </w:p>
    <w:bookmarkEnd w:id="20"/>
    <w:bookmarkStart w:id="21" w:name="X4d1c25068f075b3c01b6e36eb8c7c75ba8f31c6"/>
    <w:p>
      <w:pPr>
        <w:pStyle w:val="Heading2"/>
      </w:pPr>
      <w:r>
        <w:t xml:space="preserve">Market Context: Morocco Casablanca's Medical Research Landscape</w:t>
      </w:r>
    </w:p>
    <w:p>
      <w:pPr>
        <w:pStyle w:val="FirstParagraph"/>
      </w:pPr>
      <w:r>
        <w:t xml:space="preserve">Morocco Casablanca, home to 35% of the nation's medical research institutions and 47% of clinical trial sites, presents unique opportunities for our Medical Researcher operations. The city's strategic position as North Africa's financial hub has attracted €142M in biotech investments since 2020, creating unprecedented demand for evidence-based pharmaceutical solutions. Our Medical Researcher team leverages this ecosystem by aligning scientific data with local healthcare priorities—particularly diabetes management (affecting 7.8% of Casablanca residents) and tropical disease research. This Sales Report confirms that our tailored research approach directly addresses Morocco's National Health Strategy 2023-2030, where Casablanca serves as the primary implementation zone.</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New Hospital Partnerships Secured (Casablanca)</w:t>
            </w:r>
          </w:p>
        </w:tc>
        <w:tc>
          <w:tcPr/>
          <w:p>
            <w:pPr>
              <w:pStyle w:val="Compact"/>
              <w:jc w:val="left"/>
            </w:pPr>
            <w:r>
              <w:t xml:space="preserve">12</w:t>
            </w:r>
          </w:p>
        </w:tc>
        <w:tc>
          <w:tcPr/>
          <w:p>
            <w:pPr>
              <w:pStyle w:val="Compact"/>
              <w:jc w:val="left"/>
            </w:pPr>
            <w:r>
              <w:t xml:space="preserve">+23%</w:t>
            </w:r>
          </w:p>
        </w:tc>
        <w:tc>
          <w:tcPr/>
          <w:p>
            <w:pPr>
              <w:pStyle w:val="Compact"/>
              <w:jc w:val="left"/>
            </w:pPr>
            <w:r>
              <w:t xml:space="preserve">100%</w:t>
            </w:r>
          </w:p>
        </w:tc>
      </w:tr>
      <w:tr>
        <w:tc>
          <w:tcPr/>
          <w:p>
            <w:pPr>
              <w:pStyle w:val="Compact"/>
              <w:jc w:val="left"/>
            </w:pPr>
            <w:r>
              <w:t xml:space="preserve">Clinical Trial Recruitment Rate</w:t>
            </w:r>
          </w:p>
        </w:tc>
        <w:tc>
          <w:tcPr/>
          <w:p>
            <w:pPr>
              <w:pStyle w:val="Compact"/>
              <w:jc w:val="left"/>
            </w:pPr>
            <w:r>
              <w:t xml:space="preserve">89.4%</w:t>
            </w:r>
          </w:p>
        </w:tc>
        <w:tc>
          <w:tcPr/>
          <w:p>
            <w:pPr>
              <w:pStyle w:val="Compact"/>
              <w:jc w:val="left"/>
            </w:pPr>
            <w:r>
              <w:t xml:space="preserve">+15.2 pts</w:t>
            </w:r>
          </w:p>
        </w:tc>
        <w:tc>
          <w:tcPr/>
          <w:p>
            <w:pPr>
              <w:pStyle w:val="Compact"/>
              <w:jc w:val="left"/>
            </w:pPr>
            <w:r>
              <w:t xml:space="preserve">95% Target Met</w:t>
            </w:r>
          </w:p>
        </w:tc>
      </w:tr>
      <w:tr>
        <w:tc>
          <w:tcPr/>
          <w:p>
            <w:pPr>
              <w:pStyle w:val="Compact"/>
              <w:jc w:val="left"/>
            </w:pPr>
            <w:r>
              <w:t xml:space="preserve">Affiliated Medical Researcher Network Size</w:t>
            </w:r>
          </w:p>
        </w:tc>
        <w:tc>
          <w:tcPr/>
          <w:p>
            <w:pPr>
              <w:pStyle w:val="Compact"/>
              <w:jc w:val="left"/>
            </w:pPr>
            <w:r>
              <w:t xml:space="preserve">217 Specialists</w:t>
            </w:r>
          </w:p>
        </w:tc>
        <w:tc>
          <w:tcPr/>
          <w:p>
            <w:pPr>
              <w:pStyle w:val="Compact"/>
              <w:jc w:val="left"/>
            </w:pPr>
            <w:r>
              <w:t xml:space="preserve">+32%</w:t>
            </w:r>
          </w:p>
        </w:tc>
        <w:tc>
          <w:tcPr/>
          <w:p>
            <w:pPr>
              <w:pStyle w:val="Compact"/>
              <w:jc w:val="left"/>
            </w:pPr>
            <w:r>
              <w:t xml:space="preserve">108% of Target</w:t>
            </w:r>
          </w:p>
        </w:tc>
      </w:tr>
      <w:tr>
        <w:tc>
          <w:tcPr/>
          <w:p>
            <w:pPr>
              <w:pStyle w:val="Compact"/>
              <w:jc w:val="left"/>
            </w:pPr>
            <w:r>
              <w:t xml:space="preserve">Sales Pipeline Value (Morocco Casablanca)</w:t>
            </w:r>
          </w:p>
        </w:tc>
        <w:tc>
          <w:tcPr/>
          <w:p>
            <w:pPr>
              <w:pStyle w:val="Compact"/>
              <w:jc w:val="left"/>
            </w:pPr>
            <w:r>
              <w:t xml:space="preserve">€5.7M</w:t>
            </w:r>
          </w:p>
        </w:tc>
        <w:tc>
          <w:tcPr/>
          <w:p>
            <w:pPr>
              <w:pStyle w:val="Compact"/>
              <w:jc w:val="left"/>
            </w:pPr>
            <w:r>
              <w:t xml:space="preserve">+29.5%</w:t>
            </w:r>
          </w:p>
        </w:tc>
        <w:tc>
          <w:tcPr/>
          <w:p>
            <w:pPr>
              <w:pStyle w:val="Compact"/>
              <w:jc w:val="left"/>
            </w:pPr>
            <w:r>
              <w:t xml:space="preserve">112% of Target</w:t>
            </w:r>
          </w:p>
        </w:tc>
      </w:tr>
    </w:tbl>
    <w:p>
      <w:pPr>
        <w:pStyle w:val="BodyText"/>
      </w:pPr>
      <w:r>
        <w:t xml:space="preserve">These metrics demonstrate exceptional growth in Morocco Casablanca, where our Medical Researcher team has become instrumental in converting scientific insights into commercial opportunities. Notably, the 89.4% clinical trial recruitment rate exceeds both local averages (76.3%) and global benchmarks (82.1%), directly attributable to our researchers' deep understanding of Casablanca's healthcare infrastructure.</w:t>
      </w:r>
    </w:p>
    <w:bookmarkEnd w:id="22"/>
    <w:bookmarkStart w:id="23" w:name="strategic-initiatives-driving-success"/>
    <w:p>
      <w:pPr>
        <w:pStyle w:val="Heading2"/>
      </w:pPr>
      <w:r>
        <w:t xml:space="preserve">Strategic Initiatives Driving Success</w:t>
      </w:r>
    </w:p>
    <w:p>
      <w:pPr>
        <w:pStyle w:val="FirstParagraph"/>
      </w:pPr>
      <w:r>
        <w:t xml:space="preserve">The Sales Report identifies three core initiatives that elevated Medical Researcher performance in Morocco Casablanca:</w:t>
      </w:r>
    </w:p>
    <w:p>
      <w:pPr>
        <w:numPr>
          <w:ilvl w:val="0"/>
          <w:numId w:val="1001"/>
        </w:numPr>
        <w:pStyle w:val="Compact"/>
      </w:pPr>
      <w:r>
        <w:rPr>
          <w:bCs/>
          <w:b/>
        </w:rPr>
        <w:t xml:space="preserve">Casablanca-Centric Protocol Design:</w:t>
      </w:r>
      <w:r>
        <w:t xml:space="preserve"> </w:t>
      </w:r>
      <w:r>
        <w:t xml:space="preserve">Our Medical Researcher team co-developed studies with Ibn Rochd University Hospital and Hôpital Militaire de Casablanca, embedding local disease prevalence data (e.g., 34% higher hepatitis C incidence than national average) into trial parameters. This approach reduced patient dropout rates by 28% compared to standard protocols.</w:t>
      </w:r>
    </w:p>
    <w:p>
      <w:pPr>
        <w:numPr>
          <w:ilvl w:val="0"/>
          <w:numId w:val="1001"/>
        </w:numPr>
        <w:pStyle w:val="Compact"/>
      </w:pPr>
      <w:r>
        <w:rPr>
          <w:bCs/>
          <w:b/>
        </w:rPr>
        <w:t xml:space="preserve">Digital Research Platform Integration:</w:t>
      </w:r>
      <w:r>
        <w:t xml:space="preserve"> </w:t>
      </w:r>
      <w:r>
        <w:t xml:space="preserve">Launched the "Casablanca Research Nexus" portal, connecting our Medical Researchers with 32 clinics across the city. The platform enabled real-time data sharing on treatment outcomes, directly contributing to a 37% faster regulatory approval cycle for new drug applications in Morocco.</w:t>
      </w:r>
    </w:p>
    <w:p>
      <w:pPr>
        <w:numPr>
          <w:ilvl w:val="0"/>
          <w:numId w:val="1001"/>
        </w:numPr>
        <w:pStyle w:val="Compact"/>
      </w:pPr>
      <w:r>
        <w:rPr>
          <w:bCs/>
          <w:b/>
        </w:rPr>
        <w:t xml:space="preserve">Stakeholder Alignment Workshops:</w:t>
      </w:r>
      <w:r>
        <w:t xml:space="preserve"> </w:t>
      </w:r>
      <w:r>
        <w:t xml:space="preserve">Quarterly forums with Casablanca's Ministry of Health and private hospitals (e.g., Medipole, CHU Ibn Sina) positioned our Medical Researchers as trusted advisors. These sessions resulted in 7 new collaborative research grants totaling €1.2M for the Morocco Casablanca healthcare cluster.</w:t>
      </w:r>
    </w:p>
    <w:bookmarkEnd w:id="23"/>
    <w:bookmarkStart w:id="24" w:name="challenges-and-mitigation-strategies"/>
    <w:p>
      <w:pPr>
        <w:pStyle w:val="Heading2"/>
      </w:pPr>
      <w:r>
        <w:t xml:space="preserve">Challenges and Mitigation Strategies</w:t>
      </w:r>
    </w:p>
    <w:p>
      <w:pPr>
        <w:pStyle w:val="FirstParagraph"/>
      </w:pPr>
      <w:r>
        <w:t xml:space="preserve">This Sales Report acknowledges two critical challenges encountered in Morocco Casablanca:</w:t>
      </w:r>
    </w:p>
    <w:p>
      <w:pPr>
        <w:numPr>
          <w:ilvl w:val="0"/>
          <w:numId w:val="1002"/>
        </w:numPr>
        <w:pStyle w:val="Compact"/>
      </w:pPr>
      <w:r>
        <w:rPr>
          <w:bCs/>
          <w:b/>
        </w:rPr>
        <w:t xml:space="preserve">Cultural Adaptation in Research Engagement:</w:t>
      </w:r>
      <w:r>
        <w:t xml:space="preserve"> </w:t>
      </w:r>
      <w:r>
        <w:t xml:space="preserve">Initial resistance from traditional healthcare institutions required tailored communication strategies. Our Medical Researcher team implemented "Cultural Insight Training" with local anthropologists, leading to a 63% increase in stakeholder buy-in during Q2 2023.</w:t>
      </w:r>
    </w:p>
    <w:p>
      <w:pPr>
        <w:numPr>
          <w:ilvl w:val="0"/>
          <w:numId w:val="1002"/>
        </w:numPr>
        <w:pStyle w:val="Compact"/>
      </w:pPr>
      <w:r>
        <w:rPr>
          <w:bCs/>
          <w:b/>
        </w:rPr>
        <w:t xml:space="preserve">Regulatory Complexity:</w:t>
      </w:r>
      <w:r>
        <w:t xml:space="preserve"> </w:t>
      </w:r>
      <w:r>
        <w:t xml:space="preserve">Morocco's evolving clinical trial regulations (amended June 2023) initially delayed submissions. The Medical Researcher team established a dedicated Casablanca Regulatory Liaison role, reducing compliance processing time by 41% and avoiding €850K in potential project delays.</w:t>
      </w:r>
    </w:p>
    <w:bookmarkEnd w:id="24"/>
    <w:bookmarkStart w:id="25" w:name="Xc1cb64a15b83bdfff29ef46822254b68068dce9"/>
    <w:p>
      <w:pPr>
        <w:pStyle w:val="Heading2"/>
      </w:pPr>
      <w:r>
        <w:t xml:space="preserve">Future Roadmap: Medical Researcher Expansion in Morocco Casablanca</w:t>
      </w:r>
    </w:p>
    <w:p>
      <w:pPr>
        <w:pStyle w:val="FirstParagraph"/>
      </w:pPr>
      <w:r>
        <w:t xml:space="preserve">Based on this Sales Report's analysis, we recommend:</w:t>
      </w:r>
    </w:p>
    <w:p>
      <w:pPr>
        <w:numPr>
          <w:ilvl w:val="0"/>
          <w:numId w:val="1003"/>
        </w:numPr>
        <w:pStyle w:val="Compact"/>
      </w:pPr>
      <w:r>
        <w:rPr>
          <w:bCs/>
          <w:b/>
        </w:rPr>
        <w:t xml:space="preserve">Establishing a Morocco Casablanca Research Hub:</w:t>
      </w:r>
      <w:r>
        <w:t xml:space="preserve"> </w:t>
      </w:r>
      <w:r>
        <w:t xml:space="preserve">Investing €1.8M to centralize the Medical Researcher team at the new Casablanca Innovation Park, targeting 25% faster data-to-market conversion for oncology therapies.</w:t>
      </w:r>
    </w:p>
    <w:p>
      <w:pPr>
        <w:numPr>
          <w:ilvl w:val="0"/>
          <w:numId w:val="1003"/>
        </w:numPr>
        <w:pStyle w:val="Compact"/>
      </w:pPr>
      <w:r>
        <w:rPr>
          <w:bCs/>
          <w:b/>
        </w:rPr>
        <w:t xml:space="preserve">Skills Development Program:</w:t>
      </w:r>
      <w:r>
        <w:t xml:space="preserve"> </w:t>
      </w:r>
      <w:r>
        <w:t xml:space="preserve">Partnering with Mohammed V University to create a certified "Medical Researcher in Moroccan Healthcare" curriculum, addressing the 43% vacancy rate for specialized research roles in Casablanca's pharmaceutical sector.</w:t>
      </w:r>
    </w:p>
    <w:p>
      <w:pPr>
        <w:numPr>
          <w:ilvl w:val="0"/>
          <w:numId w:val="1003"/>
        </w:numPr>
        <w:pStyle w:val="Compact"/>
      </w:pPr>
      <w:r>
        <w:rPr>
          <w:bCs/>
          <w:b/>
        </w:rPr>
        <w:t xml:space="preserve">Local Clinical Trial Network Expansion:</w:t>
      </w:r>
      <w:r>
        <w:t xml:space="preserve"> </w:t>
      </w:r>
      <w:r>
        <w:t xml:space="preserve">Adding 8 new sites across Casablanca's urban and peri-urban zones to capture diverse patient demographics, expected to increase recruitment volume by 50% by Q2 2024.</w:t>
      </w:r>
    </w:p>
    <w:bookmarkEnd w:id="25"/>
    <w:bookmarkStart w:id="26" w:name="X6e46306281934d755ae3b4c1f59c62d48930605"/>
    <w:p>
      <w:pPr>
        <w:pStyle w:val="Heading2"/>
      </w:pPr>
      <w:r>
        <w:t xml:space="preserve">Conclusion: The Medical Researcher as Strategic Asset</w:t>
      </w:r>
    </w:p>
    <w:p>
      <w:pPr>
        <w:pStyle w:val="FirstParagraph"/>
      </w:pPr>
      <w:r>
        <w:t xml:space="preserve">This Sales Report unequivocally demonstrates that the Medical Researcher role is no longer a support function but the engine of commercial growth in Morocco Casablanca. By translating scientific rigor into localized market solutions, our team has generated €8.3M in direct sales impact and positioned us for leadership in North Africa's $2.1B medical research market. The success achieved within Morocco Casablanca—through data-driven clinical trials, stakeholder collaboration, and cultural intelligence—provides a replicable blueprint for regional expansion.</w:t>
      </w:r>
    </w:p>
    <w:p>
      <w:pPr>
        <w:pStyle w:val="BodyText"/>
      </w:pPr>
      <w:r>
        <w:t xml:space="preserve">As the healthcare landscape evolves toward personalized medicine in Morocco, the Medical Researcher's strategic value will only accelerate. Our Sales Report confirms that sustained investment in this role within Casablanca's innovation ecosystem will deliver disproportionate returns, making it non-negotiable for competitive positioning across Africa. The time to scale this model is now.</w:t>
      </w:r>
    </w:p>
    <w:p>
      <w:pPr>
        <w:pStyle w:val="BodyText"/>
      </w:pPr>
      <w:r>
        <w:rPr>
          <w:iCs/>
          <w:i/>
        </w:rPr>
        <w:t xml:space="preserve">This report concludes the quarterly assessment of Medical Researcher performance in Morocco Casablanca, directly informing strategic decisions for the 2024 regional growth plan.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Performance in Morocco Casablanca</dc:title>
  <dc:creator/>
  <dc:language>en</dc:language>
  <cp:keywords/>
  <dcterms:created xsi:type="dcterms:W3CDTF">2026-07-24T11:34:58Z</dcterms:created>
  <dcterms:modified xsi:type="dcterms:W3CDTF">2026-07-24T11:34:58Z</dcterms:modified>
</cp:coreProperties>
</file>

<file path=docProps/custom.xml><?xml version="1.0" encoding="utf-8"?>
<Properties xmlns="http://schemas.openxmlformats.org/officeDocument/2006/custom-properties" xmlns:vt="http://schemas.openxmlformats.org/officeDocument/2006/docPropsVTypes"/>
</file>