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Medical</w:t>
      </w:r>
      <w:r>
        <w:t xml:space="preserve"> </w:t>
      </w:r>
      <w:r>
        <w:t xml:space="preserve">Researcher</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Netherlands</w:t>
      </w:r>
      <w:r>
        <w:t xml:space="preserve"> </w:t>
      </w:r>
      <w:r>
        <w:t xml:space="preserve">Amsterdam</w:t>
      </w:r>
    </w:p>
    <w:bookmarkStart w:id="27" w:name="Xdcf44bb678ca617a4469592e15478095b2dc246"/>
    <w:p>
      <w:pPr>
        <w:pStyle w:val="Heading1"/>
      </w:pPr>
      <w:r>
        <w:t xml:space="preserve">Sales Report: Medical Researcher Services Market Analysis in the Netherlands Amsterdam Region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Development Committee</w:t>
      </w:r>
      <w:r>
        <w:br/>
      </w:r>
      <w:r>
        <w:rPr>
          <w:bCs/>
          <w:b/>
        </w:rPr>
        <w:t xml:space="preserve">Prepared By:</w:t>
      </w:r>
      <w:r>
        <w:t xml:space="preserve"> </w:t>
      </w:r>
      <w:r>
        <w:t xml:space="preserve">Global Healthcare Solutions Division</w:t>
      </w:r>
    </w:p>
    <w:bookmarkStart w:id="20" w:name="i.-executive-summary"/>
    <w:p>
      <w:pPr>
        <w:pStyle w:val="Heading2"/>
      </w:pPr>
      <w:r>
        <w:t xml:space="preserve">I. Executive Summary</w:t>
      </w:r>
    </w:p>
    <w:p>
      <w:pPr>
        <w:pStyle w:val="FirstParagraph"/>
      </w:pPr>
      <w:r>
        <w:t xml:space="preserve">This comprehensive Sales Report analyzes the evolving market dynamics for Medical Researcher services within the Netherlands Amsterdam ecosystem. The report confirms that Amsterdam has emerged as a critical hub for medical research innovation in Europe, driving significant growth opportunities for specialized service providers. Current sales data indicates a 28% year-over-year increase in demand for Medical Researcher personnel and associated consultancy services, with the Netherlands Amsterdam region accounting for 37% of all such contracts in the Benelux market. This surge is fueled by strategic investments in life sciences infrastructure, government funding initiatives, and Amsterdam's unique position as Europe's top destination for clinical research collaboration.</w:t>
      </w:r>
    </w:p>
    <w:bookmarkEnd w:id="20"/>
    <w:bookmarkStart w:id="21" w:name="X8ecfd7789c3075803c2d30b23752c30fc27d7ee"/>
    <w:p>
      <w:pPr>
        <w:pStyle w:val="Heading2"/>
      </w:pPr>
      <w:r>
        <w:t xml:space="preserve">II. Market Context: Netherlands Amsterdam Medical Research Landscape</w:t>
      </w:r>
    </w:p>
    <w:p>
      <w:pPr>
        <w:pStyle w:val="FirstParagraph"/>
      </w:pPr>
      <w:r>
        <w:t xml:space="preserve">Amsterdam's medical research sector has achieved remarkable momentum through strategic public-private partnerships. The city hosts 47% of all Netherlands-based pharmaceutical R&amp;D centers and is home to the world-renowned Amsterdam UMC, one of Europe's largest academic medical centers. This concentration creates a self-reinforcing ecosystem where Medical Researcher talent density directly correlates with commercial opportunities. The Dutch government's 'Innovation Agenda 2030' allocates €1.2 billion annually to life sciences, with Amsterdam receiving 63% of these regional investments.</w:t>
      </w:r>
    </w:p>
    <w:p>
      <w:pPr>
        <w:pStyle w:val="BodyText"/>
      </w:pPr>
      <w:r>
        <w:t xml:space="preserve">Crucially, the Netherlands Amsterdam region benefits from three distinct competitive advantages: (1) A bilingual workforce fluent in English and Dutch that facilitates international collaboration; (2) The world's most efficient clinical trial approval process averaging 48 hours; and (3) The unique 'Amsterdam Medical Research Park' – a 50-hectare innovation cluster housing 12 major research institutions. These factors collectively position Amsterdam as the preferred European location for medical research commercialization, directly impacting our sales performance.</w:t>
      </w:r>
    </w:p>
    <w:bookmarkEnd w:id="21"/>
    <w:bookmarkStart w:id="22" w:name="Xd7aa703e0715b0e5da42326f385fe165ffc57ff"/>
    <w:p>
      <w:pPr>
        <w:pStyle w:val="Heading2"/>
      </w:pPr>
      <w:r>
        <w:t xml:space="preserve">III. Sales Performance Analysis: Medical Researcher Service Demand</w:t>
      </w:r>
    </w:p>
    <w:p>
      <w:pPr>
        <w:pStyle w:val="FirstParagraph"/>
      </w:pPr>
      <w:r>
        <w:t xml:space="preserve">Our Q3 2023 sales data reveals unprecedented growth in Medical Researcher service contracts. Key metrics include:</w:t>
      </w:r>
    </w:p>
    <w:p>
      <w:pPr>
        <w:numPr>
          <w:ilvl w:val="0"/>
          <w:numId w:val="1001"/>
        </w:numPr>
        <w:pStyle w:val="Compact"/>
      </w:pPr>
      <w:r>
        <w:rPr>
          <w:bCs/>
          <w:b/>
        </w:rPr>
        <w:t xml:space="preserve">Contract Value Growth:</w:t>
      </w:r>
      <w:r>
        <w:t xml:space="preserve"> </w:t>
      </w:r>
      <w:r>
        <w:t xml:space="preserve">€8.7M (up 41% YoY) driven by complex oncology and neurodegenerative research projects</w:t>
      </w:r>
    </w:p>
    <w:p>
      <w:pPr>
        <w:numPr>
          <w:ilvl w:val="0"/>
          <w:numId w:val="1001"/>
        </w:numPr>
        <w:pStyle w:val="Compact"/>
      </w:pPr>
      <w:r>
        <w:rPr>
          <w:bCs/>
          <w:b/>
        </w:rPr>
        <w:t xml:space="preserve">Talent Acquisition Demand:</w:t>
      </w:r>
      <w:r>
        <w:t xml:space="preserve"> </w:t>
      </w:r>
      <w:r>
        <w:t xml:space="preserve">230+ Medical Researcher roles filled in Amsterdam, representing 58% of total Dutch placements</w:t>
      </w:r>
    </w:p>
    <w:p>
      <w:pPr>
        <w:numPr>
          <w:ilvl w:val="0"/>
          <w:numId w:val="1001"/>
        </w:numPr>
        <w:pStyle w:val="Compact"/>
      </w:pPr>
      <w:r>
        <w:rPr>
          <w:bCs/>
          <w:b/>
        </w:rPr>
        <w:t xml:space="preserve">Client Retention Rate:</w:t>
      </w:r>
      <w:r>
        <w:t xml:space="preserve"> </w:t>
      </w:r>
      <w:r>
        <w:t xml:space="preserve">92% (vs. industry average of 78%) due to specialized regional expertise</w:t>
      </w:r>
    </w:p>
    <w:p>
      <w:pPr>
        <w:numPr>
          <w:ilvl w:val="0"/>
          <w:numId w:val="1001"/>
        </w:numPr>
        <w:pStyle w:val="Compact"/>
      </w:pPr>
      <w:r>
        <w:rPr>
          <w:bCs/>
          <w:b/>
        </w:rPr>
        <w:t xml:space="preserve">Geographic Concentration:</w:t>
      </w:r>
      <w:r>
        <w:t xml:space="preserve"> </w:t>
      </w:r>
      <w:r>
        <w:t xml:space="preserve">Amsterdam accounts for 63% of all Netherlands sales, with Utrecht and Rotterdam comprising the remainder</w:t>
      </w:r>
    </w:p>
    <w:p>
      <w:pPr>
        <w:pStyle w:val="FirstParagraph"/>
      </w:pPr>
      <w:r>
        <w:t xml:space="preserve">The most significant sales catalyst has been our partnership with the Amsterdam Institute for Advanced Metropolitan Studies (AIAMS), securing a €2.4M multi-year contract to deploy Medical Researcher teams across 15 clinical trials. This collaboration demonstrates how localized market knowledge directly translates to sales success – our Amsterdam-based team achieved 30% faster project onboarding compared to regional competitors.</w:t>
      </w:r>
    </w:p>
    <w:bookmarkEnd w:id="22"/>
    <w:bookmarkStart w:id="23" w:name="X94e836fcdd0d83ef3163fd0c2d02c3e7f15d05a"/>
    <w:p>
      <w:pPr>
        <w:pStyle w:val="Heading2"/>
      </w:pPr>
      <w:r>
        <w:t xml:space="preserve">IV. Competitive Differentiation in Netherlands Amsterdam</w:t>
      </w:r>
    </w:p>
    <w:p>
      <w:pPr>
        <w:pStyle w:val="FirstParagraph"/>
      </w:pPr>
      <w:r>
        <w:t xml:space="preserve">Our sales strategy leverages deep understanding of the Netherlands' unique medical research regulatory environment. Unlike global competitors who offer standardized services, we've developed region-specific solutions that address Amsterdam's distinct requirements:</w:t>
      </w:r>
    </w:p>
    <w:p>
      <w:pPr>
        <w:numPr>
          <w:ilvl w:val="0"/>
          <w:numId w:val="1002"/>
        </w:numPr>
        <w:pStyle w:val="Compact"/>
      </w:pPr>
      <w:r>
        <w:rPr>
          <w:bCs/>
          <w:b/>
        </w:rPr>
        <w:t xml:space="preserve">Regulatory Navigation:</w:t>
      </w:r>
      <w:r>
        <w:t xml:space="preserve"> </w:t>
      </w:r>
      <w:r>
        <w:t xml:space="preserve">Our Amsterdam-based compliance team reduces trial setup time by 37% through mastery of Dutch Healthcare Authority (NZa) protocols</w:t>
      </w:r>
    </w:p>
    <w:p>
      <w:pPr>
        <w:numPr>
          <w:ilvl w:val="0"/>
          <w:numId w:val="1002"/>
        </w:numPr>
        <w:pStyle w:val="Compact"/>
      </w:pPr>
      <w:r>
        <w:rPr>
          <w:bCs/>
          <w:b/>
        </w:rPr>
        <w:t xml:space="preserve">Cultural Integration:</w:t>
      </w:r>
      <w:r>
        <w:t xml:space="preserve"> </w:t>
      </w:r>
      <w:r>
        <w:t xml:space="preserve">Medical Researcher assignments include Dutch language training and cultural immersion programs, increasing retention rates by 45%</w:t>
      </w:r>
    </w:p>
    <w:p>
      <w:pPr>
        <w:numPr>
          <w:ilvl w:val="0"/>
          <w:numId w:val="1002"/>
        </w:numPr>
        <w:pStyle w:val="Compact"/>
      </w:pPr>
      <w:r>
        <w:rPr>
          <w:bCs/>
          <w:b/>
        </w:rPr>
        <w:t xml:space="preserve">Network Leverage:</w:t>
      </w:r>
      <w:r>
        <w:t xml:space="preserve"> </w:t>
      </w:r>
      <w:r>
        <w:t xml:space="preserve">Access to Amsterdam's exclusive 'MedTech Innovation Circle' provides priority placement in high-value projects</w:t>
      </w:r>
    </w:p>
    <w:p>
      <w:pPr>
        <w:pStyle w:val="FirstParagraph"/>
      </w:pPr>
      <w:r>
        <w:t xml:space="preserve">This localized approach has yielded a 22% premium pricing advantage in the Netherlands Amsterdam market, with clients specifically requesting our 'Amsterdam Medical Researcher Package' in 78% of RFPs. Our sales conversion rate for this specialized offering stands at 68%, significantly exceeding the industry average of 45%.</w:t>
      </w:r>
    </w:p>
    <w:bookmarkEnd w:id="23"/>
    <w:bookmarkStart w:id="24" w:name="X986e6d42e79bee83fbc2ff3db6f5efe3f4c516c"/>
    <w:p>
      <w:pPr>
        <w:pStyle w:val="Heading2"/>
      </w:pPr>
      <w:r>
        <w:t xml:space="preserve">V. Market Opportunities &amp; Strategic Recommendations</w:t>
      </w:r>
    </w:p>
    <w:p>
      <w:pPr>
        <w:pStyle w:val="FirstParagraph"/>
      </w:pPr>
      <w:r>
        <w:t xml:space="preserve">The Netherlands Amsterdam market presents three high-potential growth vectors for our Medical Researcher services:</w:t>
      </w:r>
    </w:p>
    <w:p>
      <w:pPr>
        <w:numPr>
          <w:ilvl w:val="0"/>
          <w:numId w:val="1003"/>
        </w:numPr>
        <w:pStyle w:val="Compact"/>
      </w:pPr>
      <w:r>
        <w:rPr>
          <w:bCs/>
          <w:b/>
        </w:rPr>
        <w:t xml:space="preserve">AI-Powered Clinical Trials:</w:t>
      </w:r>
      <w:r>
        <w:t xml:space="preserve"> </w:t>
      </w:r>
      <w:r>
        <w:t xml:space="preserve">With 14 AI-driven research projects launched in Amsterdam this year, we recommend developing specialized Medical Researcher training in AI data analysis. This addresses a critical talent gap where 73% of Dutch pharma companies report difficulty finding qualified personnel.</w:t>
      </w:r>
    </w:p>
    <w:p>
      <w:pPr>
        <w:numPr>
          <w:ilvl w:val="0"/>
          <w:numId w:val="1003"/>
        </w:numPr>
        <w:pStyle w:val="Compact"/>
      </w:pPr>
      <w:r>
        <w:rPr>
          <w:bCs/>
          <w:b/>
        </w:rPr>
        <w:t xml:space="preserve">Sustainability Integration:</w:t>
      </w:r>
      <w:r>
        <w:t xml:space="preserve"> </w:t>
      </w:r>
      <w:r>
        <w:t xml:space="preserve">The Dutch government's 'Green Lab Initiative' requires all research projects to include sustainability metrics. We propose creating a dedicated Medical Researcher certification program in sustainable research methodologies, targeting Amsterdam's 29 bio-eco-labs.</w:t>
      </w:r>
    </w:p>
    <w:p>
      <w:pPr>
        <w:numPr>
          <w:ilvl w:val="0"/>
          <w:numId w:val="1003"/>
        </w:numPr>
        <w:pStyle w:val="Compact"/>
      </w:pPr>
      <w:r>
        <w:rPr>
          <w:bCs/>
          <w:b/>
        </w:rPr>
        <w:t xml:space="preserve">Digital Health Expansion:</w:t>
      </w:r>
      <w:r>
        <w:t xml:space="preserve"> </w:t>
      </w:r>
      <w:r>
        <w:t xml:space="preserve">Amsterdam hosts Europe's largest digital health cluster (50+ companies). We should develop Medical Researcher packages focused on wearables data integration, capitalizing on the 41% YoY growth in digital health funding here.</w:t>
      </w:r>
    </w:p>
    <w:p>
      <w:pPr>
        <w:pStyle w:val="FirstParagraph"/>
      </w:pPr>
      <w:r>
        <w:t xml:space="preserve">Implementation of these strategies would position us to capture an additional €3.2M in annual sales within the Amsterdam market by Q4 2025, representing a 36% market share increase from current levels.</w:t>
      </w:r>
    </w:p>
    <w:bookmarkEnd w:id="24"/>
    <w:bookmarkStart w:id="25" w:name="vi.-challenges-mitigation-strategies"/>
    <w:p>
      <w:pPr>
        <w:pStyle w:val="Heading2"/>
      </w:pPr>
      <w:r>
        <w:t xml:space="preserve">VI. Challenges &amp; Mitigation Strategies</w:t>
      </w:r>
    </w:p>
    <w:p>
      <w:pPr>
        <w:pStyle w:val="FirstParagraph"/>
      </w:pPr>
      <w:r>
        <w:t xml:space="preserve">Despite strong growth, two key challenges require immediate attention:</w:t>
      </w:r>
    </w:p>
    <w:p>
      <w:pPr>
        <w:numPr>
          <w:ilvl w:val="0"/>
          <w:numId w:val="1004"/>
        </w:numPr>
        <w:pStyle w:val="Compact"/>
      </w:pPr>
      <w:r>
        <w:rPr>
          <w:bCs/>
          <w:b/>
        </w:rPr>
        <w:t xml:space="preserve">Talent Shortage:</w:t>
      </w:r>
      <w:r>
        <w:t xml:space="preserve"> </w:t>
      </w:r>
      <w:r>
        <w:t xml:space="preserve">Amsterdam faces a 47% deficit in specialized Medical Researcher roles. Our mitigation: Expand partnerships with Vrije Universiteit Amsterdam and UvA for dedicated recruitment pipelines.</w:t>
      </w:r>
    </w:p>
    <w:p>
      <w:pPr>
        <w:numPr>
          <w:ilvl w:val="0"/>
          <w:numId w:val="1004"/>
        </w:numPr>
        <w:pStyle w:val="Compact"/>
      </w:pPr>
      <w:r>
        <w:rPr>
          <w:bCs/>
          <w:b/>
        </w:rPr>
        <w:t xml:space="preserve">Regulatory Changes:</w:t>
      </w:r>
      <w:r>
        <w:t xml:space="preserve"> </w:t>
      </w:r>
      <w:r>
        <w:t xml:space="preserve">Proposed Dutch amendments to clinical trial laws (2024) may impact service delivery. Mitigation: Establish a permanent regulatory task force in Amsterdam staffed by former NZa officials.</w:t>
      </w:r>
    </w:p>
    <w:p>
      <w:pPr>
        <w:pStyle w:val="FirstParagraph"/>
      </w:pPr>
      <w:r>
        <w:t xml:space="preserve">Proactive engagement with the Netherlands Medical Research Association (NLMR) will be critical in shaping these regulatory transitions, ensuring our Medical Researcher services remain fully compliant while maintaining sales momentum.</w:t>
      </w:r>
    </w:p>
    <w:bookmarkEnd w:id="25"/>
    <w:bookmarkStart w:id="26" w:name="X9e0b2018a3f91a2f6088b3d7f44fb5303094537"/>
    <w:p>
      <w:pPr>
        <w:pStyle w:val="Heading2"/>
      </w:pPr>
      <w:r>
        <w:t xml:space="preserve">VII. Conclusion: Strategic Imperative for Amsterdam Market Dominance</w:t>
      </w:r>
    </w:p>
    <w:p>
      <w:pPr>
        <w:pStyle w:val="FirstParagraph"/>
      </w:pPr>
      <w:r>
        <w:t xml:space="preserve">This Sales Report confirms that the Netherlands Amsterdam region has become the epicenter of medical research commercialization in Europe. Our localized approach to Medical Researcher service delivery has proven superior in capturing market share, with sales performance directly correlating to deep regional expertise. As Amsterdam solidifies its position as Europe's life sciences capital – supported by its world-class infrastructure and government investment – our strategic focus on this market delivers exceptional ROI.</w:t>
      </w:r>
    </w:p>
    <w:p>
      <w:pPr>
        <w:pStyle w:val="BodyText"/>
      </w:pPr>
      <w:r>
        <w:t xml:space="preserve">Recommendation: Allocate 40% of the 2024 Netherlands R&amp;D budget toward expanding our Amsterdam Medical Researcher service capabilities. This targeted investment will capitalize on the region's structural advantages, ensuring sustainable market leadership in one of Europe's most dynamic healthcare innovation ecosystems. The data is unequivocal: success in Medical Researcher services requires not just expertise, but an unshakeable commitment to understanding the Netherlands Amsterdam market – and our sales figures demonstrate we've achieved precisely that.</w:t>
      </w:r>
    </w:p>
    <w:p>
      <w:pPr>
        <w:pStyle w:val="BodyText"/>
      </w:pPr>
      <w:r>
        <w:rPr>
          <w:bCs/>
          <w:b/>
        </w:rPr>
        <w:t xml:space="preserve">Appendix A:</w:t>
      </w:r>
      <w:r>
        <w:t xml:space="preserve"> </w:t>
      </w:r>
      <w:r>
        <w:t xml:space="preserve">Market Growth Metrics (2021-2023)</w:t>
      </w:r>
      <w:r>
        <w:br/>
      </w:r>
      <w:r>
        <w:rPr>
          <w:bCs/>
          <w:b/>
        </w:rPr>
        <w:t xml:space="preserve">Appendix B:</w:t>
      </w:r>
      <w:r>
        <w:t xml:space="preserve"> </w:t>
      </w:r>
      <w:r>
        <w:t xml:space="preserve">Amsterdam Medical Researcher Demand Forecast (Q4 2023 - Q4 2025)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Medical Researcher Services Market Analysis - Netherlands Amsterdam</dc:title>
  <dc:creator/>
  <dc:language>en</dc:language>
  <cp:keywords/>
  <dcterms:created xsi:type="dcterms:W3CDTF">2026-07-23T22:55:21Z</dcterms:created>
  <dcterms:modified xsi:type="dcterms:W3CDTF">2026-07-23T22:55:21Z</dcterms:modified>
</cp:coreProperties>
</file>

<file path=docProps/custom.xml><?xml version="1.0" encoding="utf-8"?>
<Properties xmlns="http://schemas.openxmlformats.org/officeDocument/2006/custom-properties" xmlns:vt="http://schemas.openxmlformats.org/officeDocument/2006/docPropsVTypes"/>
</file>