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99559c6b9ea9708c015ef352c90b58d5ae5a3a9"/>
    <w:p>
      <w:pPr>
        <w:pStyle w:val="Heading1"/>
      </w:pPr>
      <w:r>
        <w:t xml:space="preserve">Comprehensive Sales Report: Medical Researcher Performance in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New Zealand Healthcare Innovation Division</w:t>
      </w:r>
      <w:r>
        <w:br/>
      </w:r>
      <w:r>
        <w:rPr>
          <w:bCs/>
          <w:b/>
        </w:rPr>
        <w:t xml:space="preserve">Report Type:</w:t>
      </w:r>
      <w:r>
        <w:t xml:space="preserve"> </w:t>
      </w:r>
      <w:r>
        <w:t xml:space="preserve">Quarterly Sales Performance Analysis - Medical Researcher Focus</w:t>
      </w:r>
    </w:p>
    <w:bookmarkStart w:id="20" w:name="i.-executive-summary"/>
    <w:p>
      <w:pPr>
        <w:pStyle w:val="Heading2"/>
      </w:pPr>
      <w:r>
        <w:t xml:space="preserve">I. Executive Summary</w:t>
      </w:r>
    </w:p>
    <w:p>
      <w:pPr>
        <w:pStyle w:val="FirstParagraph"/>
      </w:pPr>
      <w:r>
        <w:t xml:space="preserve">This Sales Report details the performance metrics, market dynamics, and strategic opportunities for our Medical Researcher team operating within the vibrant biotechnology ecosystem of New Zealand Auckland. The quarter (Q3 2023) demonstrated a remarkable 18% year-on-year growth in research-driven product sales, directly attributable to enhanced Medical Researcher engagement across Auckland's healthcare network. As New Zealand's premier hub for medical innovation, Auckland has become the critical engine driving our national sales performance, with our Medical Researcher initiatives accounting for 62% of total revenue growth in the region.</w:t>
      </w:r>
    </w:p>
    <w:bookmarkEnd w:id="20"/>
    <w:bookmarkStart w:id="21" w:name="Xe7326e34d5890c8bc7193a303d996eb033eac0c"/>
    <w:p>
      <w:pPr>
        <w:pStyle w:val="Heading2"/>
      </w:pPr>
      <w:r>
        <w:t xml:space="preserve">II. Market Context: New Zealand Auckland as a Medical Innovation Epicenter</w:t>
      </w:r>
    </w:p>
    <w:p>
      <w:pPr>
        <w:pStyle w:val="FirstParagraph"/>
      </w:pPr>
      <w:r>
        <w:t xml:space="preserve">New Zealand Auckland's status as a leading medical research destination is undeniable. Home to the University of Auckland's renowned Faculty of Medical and Health Sciences, AUT's Centre for Biomedical Research, and major facilities like Starship Children's Hospital and Waitematā District Health Board, the city attracts 47% of New Zealand's clinical trial activity. This concentration creates a unique sales environment where our</w:t>
      </w:r>
      <w:r>
        <w:t xml:space="preserve"> </w:t>
      </w:r>
      <w:r>
        <w:rPr>
          <w:bCs/>
          <w:b/>
        </w:rPr>
        <w:t xml:space="preserve">Medical Researcher</w:t>
      </w:r>
      <w:r>
        <w:t xml:space="preserve"> </w:t>
      </w:r>
      <w:r>
        <w:t xml:space="preserve">teams operate at the nexus of cutting-edge science and commercial opportunity. The Auckland market represents 68% of all medical research procurement in New Zealand, making it the undisputed focal point for our</w:t>
      </w:r>
      <w:r>
        <w:t xml:space="preserve"> </w:t>
      </w:r>
      <w:r>
        <w:rPr>
          <w:bCs/>
          <w:b/>
        </w:rPr>
        <w:t xml:space="preserve">Sales Report</w:t>
      </w:r>
      <w:r>
        <w:t xml:space="preserve"> </w:t>
      </w:r>
      <w:r>
        <w:t xml:space="preserve">strategy.</w:t>
      </w:r>
    </w:p>
    <w:bookmarkEnd w:id="21"/>
    <w:bookmarkStart w:id="22" w:name="Xa46b3ef1489824589346f7733429756bed83a69"/>
    <w:p>
      <w:pPr>
        <w:pStyle w:val="Heading2"/>
      </w:pPr>
      <w:r>
        <w:t xml:space="preserve">III. Medical Researcher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Direct Sales from Medical Researcher Activities</w:t>
      </w:r>
    </w:p>
    <w:p>
      <w:pPr>
        <w:pStyle w:val="BodyText"/>
      </w:pPr>
      <w:r>
        <w:t xml:space="preserve">$1.48M NZD</w:t>
      </w:r>
    </w:p>
    <w:p>
      <w:pPr>
        <w:pStyle w:val="BodyText"/>
      </w:pPr>
      <w:r>
        <w:t xml:space="preserve">$1.25M NZD</w:t>
      </w:r>
    </w:p>
    <w:p>
      <w:pPr>
        <w:pStyle w:val="BodyText"/>
      </w:pPr>
      <w:r>
        <w:t xml:space="preserve">+18.4%</w:t>
      </w:r>
    </w:p>
    <w:p>
      <w:pPr>
        <w:pStyle w:val="BodyText"/>
      </w:pPr>
      <w:r>
        <w:t xml:space="preserve">Client Acquisition Rate (New HOSPITAL/RESEARCH CENTRES)</w:t>
      </w:r>
    </w:p>
    <w:p>
      <w:pPr>
        <w:pStyle w:val="BodyText"/>
      </w:pPr>
      <w:r>
        <w:t xml:space="preserve">23</w:t>
      </w:r>
    </w:p>
    <w:p>
      <w:pPr>
        <w:pStyle w:val="BodyText"/>
      </w:pPr>
      <w:r>
        <w:t xml:space="preserve">17</w:t>
      </w:r>
    </w:p>
    <w:p>
      <w:pPr>
        <w:pStyle w:val="BodyText"/>
      </w:pPr>
      <w:r>
        <w:t xml:space="preserve">+35.3%</w:t>
      </w:r>
    </w:p>
    <w:p>
      <w:pPr>
        <w:pStyle w:val="BodyText"/>
      </w:pPr>
      <w:r>
        <w:t xml:space="preserve">Clinical Trial Support Contracts Secured</w:t>
      </w:r>
    </w:p>
    <w:p>
      <w:pPr>
        <w:pStyle w:val="BodyText"/>
      </w:pPr>
      <w:r>
        <w:t xml:space="preserve">9</w:t>
      </w:r>
    </w:p>
    <w:p>
      <w:pPr>
        <w:pStyle w:val="BodyText"/>
      </w:pPr>
      <w:r>
        <w:t xml:space="preserve">4</w:t>
      </w:r>
    </w:p>
    <w:p>
      <w:pPr>
        <w:pStyle w:val="BodyText"/>
      </w:pPr>
      <w:r>
        <w:t xml:space="preserve">+125%</w:t>
      </w:r>
    </w:p>
    <w:p>
      <w:pPr>
        <w:pStyle w:val="BodyText"/>
      </w:pPr>
      <w:r>
        <w:t xml:space="preserve">Cross-Sell Rate (Product + Service)</w:t>
      </w:r>
    </w:p>
    <w:p>
      <w:pPr>
        <w:pStyle w:val="BodyText"/>
      </w:pPr>
      <w:r>
        <w:t xml:space="preserve">67%</w:t>
      </w:r>
    </w:p>
    <w:p>
      <w:pPr>
        <w:pStyle w:val="BodyText"/>
      </w:pPr>
      <w:r>
        <w:t xml:space="preserve">52%</w:t>
      </w:r>
    </w:p>
    <w:p>
      <w:pPr>
        <w:pStyle w:val="BodyText"/>
      </w:pPr>
      <w:r>
        <w:t xml:space="preserve">The data reveals a transformative impact: Each of our Auckland-based</w:t>
      </w:r>
      <w:r>
        <w:t xml:space="preserve"> </w:t>
      </w:r>
      <w:r>
        <w:rPr>
          <w:bCs/>
          <w:b/>
        </w:rPr>
        <w:t xml:space="preserve">Medical Researcher</w:t>
      </w:r>
      <w:r>
        <w:t xml:space="preserve"> </w:t>
      </w:r>
      <w:r>
        <w:t xml:space="preserve">professionals generated an average of $123,000 in direct sales revenue during Q3 2023 – exceeding the national average by 28%. This outperformance is directly linked to their deep engagement with Auckland's research community, where they serve as scientific liaisons between our R&amp;D capabilities and clinical needs.</w:t>
      </w:r>
    </w:p>
    <w:bookmarkEnd w:id="22"/>
    <w:bookmarkStart w:id="23" w:name="X499e9794366878fcbc50c5e3d8b4d3da403cefa"/>
    <w:p>
      <w:pPr>
        <w:pStyle w:val="Heading2"/>
      </w:pPr>
      <w:r>
        <w:t xml:space="preserve">IV. Key Success Factors: Medical Researcher Impact in Auckland</w:t>
      </w:r>
    </w:p>
    <w:p>
      <w:pPr>
        <w:pStyle w:val="FirstParagraph"/>
      </w:pPr>
      <w:r>
        <w:t xml:space="preserve">The exceptional results stem from three strategic pillars unique to the New Zealand Auckland context:</w:t>
      </w:r>
    </w:p>
    <w:p>
      <w:pPr>
        <w:numPr>
          <w:ilvl w:val="0"/>
          <w:numId w:val="1001"/>
        </w:numPr>
        <w:pStyle w:val="Compact"/>
      </w:pPr>
      <w:r>
        <w:rPr>
          <w:bCs/>
          <w:b/>
        </w:rPr>
        <w:t xml:space="preserve">Localized Scientific Partnership:</w:t>
      </w:r>
      <w:r>
        <w:t xml:space="preserve"> </w:t>
      </w:r>
      <w:r>
        <w:t xml:space="preserve">Our Medical Researchers in Auckland co-develop protocols with University of Auckland's Centre for Brain Research, resulting in 5 new product adoption pathways. This localized scientific credibility directly drives sales conversations at Waitemata DHB.</w:t>
      </w:r>
    </w:p>
    <w:p>
      <w:pPr>
        <w:numPr>
          <w:ilvl w:val="0"/>
          <w:numId w:val="1001"/>
        </w:numPr>
        <w:pStyle w:val="Compact"/>
      </w:pPr>
      <w:r>
        <w:rPr>
          <w:bCs/>
          <w:b/>
        </w:rPr>
        <w:t xml:space="preserve">Regulatory Navigation Expertise:</w:t>
      </w:r>
      <w:r>
        <w:t xml:space="preserve"> </w:t>
      </w:r>
      <w:r>
        <w:t xml:space="preserve">With New Zealand's Ministry of Health requiring rigorous clinical evidence, our Auckland Medical Researchers expedited 7 regulatory submissions for diagnostic tools, accelerating market entry by an average of 42 days versus standard timelines.</w:t>
      </w:r>
    </w:p>
    <w:p>
      <w:pPr>
        <w:numPr>
          <w:ilvl w:val="0"/>
          <w:numId w:val="1001"/>
        </w:numPr>
        <w:pStyle w:val="Compact"/>
      </w:pPr>
      <w:r>
        <w:rPr>
          <w:bCs/>
          <w:b/>
        </w:rPr>
        <w:t xml:space="preserve">Auckland Community Integration:</w:t>
      </w:r>
      <w:r>
        <w:t xml:space="preserve"> </w:t>
      </w:r>
      <w:r>
        <w:t xml:space="preserve">The team's active participation in the Auckland Biotech Network (ABN) and New Zealand Society of Medical Research events fostered trust that translated to 37% higher conversion rates from leads to contracts compared to non-Auckland teams.</w:t>
      </w:r>
    </w:p>
    <w:bookmarkEnd w:id="23"/>
    <w:bookmarkStart w:id="24" w:name="X78099bc1a59dcda7fae8596766e2681711ce8e3"/>
    <w:p>
      <w:pPr>
        <w:pStyle w:val="Heading2"/>
      </w:pPr>
      <w:r>
        <w:t xml:space="preserve">V. Market Analysis: Sales Opportunities in New Zealand Auckland</w:t>
      </w:r>
    </w:p>
    <w:p>
      <w:pPr>
        <w:pStyle w:val="FirstParagraph"/>
      </w:pPr>
      <w:r>
        <w:t xml:space="preserve">Current market trends present significant opportunities for our</w:t>
      </w:r>
      <w:r>
        <w:t xml:space="preserve"> </w:t>
      </w:r>
      <w:r>
        <w:rPr>
          <w:bCs/>
          <w:b/>
        </w:rPr>
        <w:t xml:space="preserve">Medical Researcher</w:t>
      </w:r>
      <w:r>
        <w:t xml:space="preserve"> </w:t>
      </w:r>
      <w:r>
        <w:t xml:space="preserve">sales strategy:</w:t>
      </w:r>
    </w:p>
    <w:p>
      <w:pPr>
        <w:numPr>
          <w:ilvl w:val="0"/>
          <w:numId w:val="1002"/>
        </w:numPr>
        <w:pStyle w:val="Compact"/>
      </w:pPr>
      <w:r>
        <w:rPr>
          <w:iCs/>
          <w:i/>
        </w:rPr>
        <w:t xml:space="preserve">Digital Health Integration:</w:t>
      </w:r>
      <w:r>
        <w:t xml:space="preserve"> </w:t>
      </w:r>
      <w:r>
        <w:t xml:space="preserve">83% of Auckland hospitals are piloting AI-driven diagnostics. Our Medical Researchers are positioning our cloud-based analysis platform as the essential companion tool, generating $420K in pipeline revenue.</w:t>
      </w:r>
    </w:p>
    <w:p>
      <w:pPr>
        <w:numPr>
          <w:ilvl w:val="0"/>
          <w:numId w:val="1002"/>
        </w:numPr>
        <w:pStyle w:val="Compact"/>
      </w:pPr>
      <w:r>
        <w:rPr>
          <w:iCs/>
          <w:i/>
        </w:rPr>
        <w:t xml:space="preserve">Maori Health Equity Initiatives:</w:t>
      </w:r>
      <w:r>
        <w:t xml:space="preserve"> </w:t>
      </w:r>
      <w:r>
        <w:t xml:space="preserve">Government funding for Māori health research (e.g., Te Aka Whai Ora) has created a $6.2M market opportunity. Our Auckland Medical Researchers are leading partnerships with Te Rūnanga o Ngāti Whātua to co-design culturally appropriate trials.</w:t>
      </w:r>
    </w:p>
    <w:p>
      <w:pPr>
        <w:numPr>
          <w:ilvl w:val="0"/>
          <w:numId w:val="1002"/>
        </w:numPr>
        <w:pStyle w:val="Compact"/>
      </w:pPr>
      <w:r>
        <w:rPr>
          <w:iCs/>
          <w:i/>
        </w:rPr>
        <w:t xml:space="preserve">Pharma Collaborations:</w:t>
      </w:r>
      <w:r>
        <w:t xml:space="preserve"> </w:t>
      </w:r>
      <w:r>
        <w:t xml:space="preserve">With 12 multinational pharma companies maintaining Auckland research centers, our Medical Researchers secure "co-investor" roles in clinical trials – a strategic sales channel generating 30% of new contracts.</w:t>
      </w:r>
    </w:p>
    <w:bookmarkEnd w:id="24"/>
    <w:bookmarkStart w:id="25" w:name="X5c7156ed8219e838e21e81b816940a9d642acd4"/>
    <w:p>
      <w:pPr>
        <w:pStyle w:val="Heading2"/>
      </w:pPr>
      <w:r>
        <w:t xml:space="preserve">VI. Challenges and Strategic Recommendations</w:t>
      </w:r>
    </w:p>
    <w:p>
      <w:pPr>
        <w:pStyle w:val="FirstParagraph"/>
      </w:pPr>
      <w:r>
        <w:t xml:space="preserve">While performance is strong, three challenges require immediate attention for sustained growth in New Zealand Auckland:</w:t>
      </w:r>
    </w:p>
    <w:p>
      <w:pPr>
        <w:numPr>
          <w:ilvl w:val="0"/>
          <w:numId w:val="1003"/>
        </w:numPr>
        <w:pStyle w:val="Compact"/>
      </w:pPr>
      <w:r>
        <w:rPr>
          <w:iCs/>
          <w:i/>
        </w:rPr>
        <w:t xml:space="preserve">Talent Retention Pressure:</w:t>
      </w:r>
      <w:r>
        <w:t xml:space="preserve"> </w:t>
      </w:r>
      <w:r>
        <w:t xml:space="preserve">Competing with pharmaceutical giants for top Medical Researchers. *Recommendation:* Implement a $15K annual professional development stipend exclusively for Auckland-based researchers.</w:t>
      </w:r>
    </w:p>
    <w:p>
      <w:pPr>
        <w:numPr>
          <w:ilvl w:val="0"/>
          <w:numId w:val="1003"/>
        </w:numPr>
        <w:pStyle w:val="Compact"/>
      </w:pPr>
      <w:r>
        <w:rPr>
          <w:iCs/>
          <w:i/>
        </w:rPr>
        <w:t xml:space="preserve">Regulatory Fragmentation:</w:t>
      </w:r>
      <w:r>
        <w:t xml:space="preserve"> </w:t>
      </w:r>
      <w:r>
        <w:t xml:space="preserve">Differing requirements between District Health Boards. *Recommendation:* Develop an Auckland-specific regulatory toolkit co-created by our Medical Researchers and NZ Ministry of Health advisors.</w:t>
      </w:r>
    </w:p>
    <w:bookmarkEnd w:id="25"/>
    <w:bookmarkStart w:id="26" w:name="vii.-conclusion-the-auckland-advantage"/>
    <w:p>
      <w:pPr>
        <w:pStyle w:val="Heading2"/>
      </w:pPr>
      <w:r>
        <w:t xml:space="preserve">VII. Conclusion: The Auckland Advantage</w:t>
      </w:r>
    </w:p>
    <w:p>
      <w:pPr>
        <w:pStyle w:val="FirstParagraph"/>
      </w:pPr>
      <w:r>
        <w:t xml:space="preserve">The data unequivocally demonstrates that our Medical Researcher strategy in New Zealand Auckland is not merely a regional initiative – it's the cornerstone of our national sales success. As this Sales Report confirms, every dollar invested in Auckland-based Medical Researchers yields $4.78 in revenue through enhanced scientific credibility, regulatory efficiency, and community trust. With Auckland capturing 68% of New Zealand's medical research investment and our Medical Researchers driving 62% of that segment's growth, it is imperative to double down on this model.</w:t>
      </w:r>
    </w:p>
    <w:p>
      <w:pPr>
        <w:pStyle w:val="BodyText"/>
      </w:pPr>
      <w:r>
        <w:t xml:space="preserve">Looking ahead, we project a minimum 25% sales increase for FY2024 through targeted expansion of the Auckland Medical Researcher team by 30%, with dedicated focus on emerging opportunities in digital health and Māori health equity. This strategic investment will solidify New Zealand Auckland's position as our most valuable sales engine, delivering measurable returns that benefit the entire New Zealand medical research ecosystem. The future of our Sales Report narrative depends on nurturing this critical Medical Researcher advantage in the heart of New Zealand's innovation capital.</w:t>
      </w:r>
    </w:p>
    <w:bookmarkEnd w:id="26"/>
    <w:bookmarkStart w:id="27" w:name="viii.-appendices"/>
    <w:p>
      <w:pPr>
        <w:pStyle w:val="Heading2"/>
      </w:pPr>
      <w:r>
        <w:t xml:space="preserve">VIII. Appendices</w:t>
      </w:r>
    </w:p>
    <w:p>
      <w:pPr>
        <w:pStyle w:val="FirstParagraph"/>
      </w:pPr>
      <w:r>
        <w:rPr>
          <w:bCs/>
          <w:b/>
        </w:rPr>
        <w:t xml:space="preserve">Appendix A:</w:t>
      </w:r>
      <w:r>
        <w:t xml:space="preserve"> </w:t>
      </w:r>
      <w:r>
        <w:t xml:space="preserve">Auckland Hospital Research Partnership Map (Q3 2023)</w:t>
      </w:r>
      <w:r>
        <w:br/>
      </w:r>
      <w:r>
        <w:rPr>
          <w:bCs/>
          <w:b/>
        </w:rPr>
        <w:t xml:space="preserve">Appendix B:</w:t>
      </w:r>
      <w:r>
        <w:t xml:space="preserve"> </w:t>
      </w:r>
      <w:r>
        <w:t xml:space="preserve">Medical Researcher Engagement Metrics vs National Benchmarks</w:t>
      </w:r>
      <w:r>
        <w:br/>
      </w:r>
      <w:r>
        <w:rPr>
          <w:bCs/>
          <w:b/>
        </w:rPr>
        <w:t xml:space="preserve">Appendix C:</w:t>
      </w:r>
      <w:r>
        <w:t xml:space="preserve"> </w:t>
      </w:r>
      <w:r>
        <w:t xml:space="preserve">Q4 2023 Strategic Investment Proposal</w:t>
      </w:r>
    </w:p>
    <w:p>
      <w:pPr>
        <w:pStyle w:val="BodyText"/>
      </w:pPr>
      <w:r>
        <w:rPr>
          <w:iCs/>
          <w:i/>
        </w:rPr>
        <w:t xml:space="preserve">This Sales Report is specific to the New Zealand Auckland market. All figures represent actual performance from October 1–September 30, 2023. Medical Researcher metrics reflect direct contribution to commercial outcomes within the New Zealand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New Zealand Auckland</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