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Impact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537cfff0891b40f73a74545e0ea974d439e0f8"/>
    <w:p>
      <w:pPr>
        <w:pStyle w:val="Heading1"/>
      </w:pPr>
      <w:r>
        <w:t xml:space="preserve">Quarterly Sales Report: Medical Researcher Integration &amp; Market Performance in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Health Innovations Ltd.</w:t>
      </w:r>
      <w:r>
        <w:br/>
      </w:r>
      <w:r>
        <w:rPr>
          <w:bCs/>
          <w:b/>
        </w:rPr>
        <w:t xml:space="preserve">Location Focus:</w:t>
      </w:r>
      <w:r>
        <w:t xml:space="preserve"> </w:t>
      </w:r>
      <w:r>
        <w:t xml:space="preserve">New Zealand Wellington</w:t>
      </w:r>
    </w:p>
    <w:bookmarkStart w:id="20" w:name="i.-executive-summary"/>
    <w:p>
      <w:pPr>
        <w:pStyle w:val="Heading2"/>
      </w:pPr>
      <w:r>
        <w:t xml:space="preserve">I. Executive Summary</w:t>
      </w:r>
    </w:p>
    <w:p>
      <w:pPr>
        <w:pStyle w:val="FirstParagraph"/>
      </w:pPr>
      <w:r>
        <w:t xml:space="preserve">This Sales Report details the strategic impact of integrating a specialized Medical Researcher into our Wellington operations, directly driving growth in New Zealand's biotechnology sector. Since the appointment of Dr. Eleanor Hayes as Senior Medical Researcher in June 2023, our sales pipeline for clinical research services has expanded by 37% within New Zealand Wellington's healthcare ecosystem. The role has become instrumental in converting high-value government and private sector contracts, validating our market position as a leader in evidence-based medical solutions across Aotearoa. This report confirms that the Medical Researcher position is not merely a support function but a revenue catalyst for our Wellington operations.</w:t>
      </w:r>
    </w:p>
    <w:bookmarkEnd w:id="20"/>
    <w:bookmarkStart w:id="21" w:name="X48f36bd5945f6797cbdb15752516f7c77727b67"/>
    <w:p>
      <w:pPr>
        <w:pStyle w:val="Heading2"/>
      </w:pPr>
      <w:r>
        <w:t xml:space="preserve">II. Market Context: New Zealand Wellington's Medical Research Landscape</w:t>
      </w:r>
    </w:p>
    <w:p>
      <w:pPr>
        <w:pStyle w:val="FirstParagraph"/>
      </w:pPr>
      <w:r>
        <w:t xml:space="preserve">Wellington, New Zealand's capital city, serves as the nation's medical innovation hub with 40+ research institutions, including the University of Otago Wellington Campus and Malaghan Institute. The local market for clinical research services grew by 15% annually (2021-2023), driven by government initiatives like Health Research Council funding and increased pharmaceutical trials. However, competitors struggled with fragmented scientific credibility—78% of prospective clients cited "lack of expert medical oversight" as their primary sales barrier (NZ Medical Innovation Survey, Q2 2023). This created a critical opportunity for Pacific Health Innovations to deploy a dedicated Medical Researcher within our Wellington office.</w:t>
      </w:r>
    </w:p>
    <w:bookmarkEnd w:id="21"/>
    <w:bookmarkStart w:id="22" w:name="X792d53675d424816f88f5cc2672221abc813936"/>
    <w:p>
      <w:pPr>
        <w:pStyle w:val="Heading2"/>
      </w:pPr>
      <w:r>
        <w:t xml:space="preserve">III. Medical Researcher: Strategic Sales Impact</w:t>
      </w:r>
    </w:p>
    <w:p>
      <w:pPr>
        <w:pStyle w:val="FirstParagraph"/>
      </w:pPr>
      <w:r>
        <w:t xml:space="preserve">The inclusion of the Medical Researcher role transformed our sales approach from transactional to consultative. Dr. Hayes' expertise—spanning oncology trials and digital health analytics—directly enhanced client trust during sales cycles:</w:t>
      </w:r>
    </w:p>
    <w:p>
      <w:pPr>
        <w:numPr>
          <w:ilvl w:val="0"/>
          <w:numId w:val="1001"/>
        </w:numPr>
        <w:pStyle w:val="Compact"/>
      </w:pPr>
      <w:r>
        <w:rPr>
          <w:bCs/>
          <w:b/>
        </w:rPr>
        <w:t xml:space="preserve">Proposal Credibility:</w:t>
      </w:r>
      <w:r>
        <w:t xml:space="preserve"> </w:t>
      </w:r>
      <w:r>
        <w:t xml:space="preserve">92% of RFPs submitted since June included her scientific validation, compared to 56% pre-hire (data from Wellington office).</w:t>
      </w:r>
    </w:p>
    <w:p>
      <w:pPr>
        <w:numPr>
          <w:ilvl w:val="0"/>
          <w:numId w:val="1001"/>
        </w:numPr>
        <w:pStyle w:val="Compact"/>
      </w:pPr>
      <w:r>
        <w:rPr>
          <w:bCs/>
          <w:b/>
        </w:rPr>
        <w:t xml:space="preserve">Closing Rate Improvement:</w:t>
      </w:r>
      <w:r>
        <w:t xml:space="preserve"> </w:t>
      </w:r>
      <w:r>
        <w:t xml:space="preserve">Deals requiring Medical Researcher involvement closed 4.3x faster than standard sales cycles (average: 18 days vs. 78 days).</w:t>
      </w:r>
    </w:p>
    <w:p>
      <w:pPr>
        <w:numPr>
          <w:ilvl w:val="0"/>
          <w:numId w:val="1001"/>
        </w:numPr>
        <w:pStyle w:val="Compact"/>
      </w:pPr>
      <w:r>
        <w:rPr>
          <w:bCs/>
          <w:b/>
        </w:rPr>
        <w:t xml:space="preserve">Enterprise Client Acquisition:</w:t>
      </w:r>
      <w:r>
        <w:t xml:space="preserve"> </w:t>
      </w:r>
      <w:r>
        <w:t xml:space="preserve">Secured two major Wellington contracts: a $2.1M Ministry of Health diabetes intervention study and a $1.5M collaboration with Wellington Regional Hospital.</w:t>
      </w:r>
    </w:p>
    <w:p>
      <w:pPr>
        <w:pStyle w:val="FirstParagraph"/>
      </w:pPr>
      <w:r>
        <w:t xml:space="preserve">Notably, the Medical Researcher's presence enabled us to compete effectively against global firms in New Zealand Wellington, where local knowledge is non-negotiable for compliance (e.g., Te Tiriti o Waitangi-informed research protocols). Her work directly addressed a market gap identified in our competitor analysis: 63% of clients felt overseas teams lacked contextual understanding of New Zealand's healthcare system.</w:t>
      </w:r>
    </w:p>
    <w:bookmarkEnd w:id="22"/>
    <w:bookmarkStart w:id="23" w:name="X2534716f5eb769b7c6d9d973228b1a279d92848"/>
    <w:p>
      <w:pPr>
        <w:pStyle w:val="Heading2"/>
      </w:pPr>
      <w:r>
        <w:t xml:space="preserve">IV. Sales Performance Metrics: New Zealand Wellington Focus</w:t>
      </w:r>
    </w:p>
    <w:p>
      <w:pPr>
        <w:pStyle w:val="FirstParagraph"/>
      </w:pPr>
      <w:r>
        <w:t xml:space="preserve">KPI</w:t>
      </w:r>
    </w:p>
    <w:p>
      <w:pPr>
        <w:pStyle w:val="BodyText"/>
      </w:pPr>
      <w:r>
        <w:t xml:space="preserve">Q1 2023 (Pre-Medical Researcher)</w:t>
      </w:r>
    </w:p>
    <w:p>
      <w:pPr>
        <w:pStyle w:val="BodyText"/>
      </w:pPr>
      <w:r>
        <w:t xml:space="preserve">Q3 2023 (Post-Hire)</w:t>
      </w:r>
    </w:p>
    <w:p>
      <w:pPr>
        <w:pStyle w:val="BodyText"/>
      </w:pPr>
      <w:r>
        <w:t xml:space="preserve">% Change</w:t>
      </w:r>
    </w:p>
    <w:p>
      <w:pPr>
        <w:pStyle w:val="BodyText"/>
      </w:pPr>
      <w:r>
        <w:t xml:space="preserve">Sales Revenue (Wellington)</w:t>
      </w:r>
    </w:p>
    <w:p>
      <w:pPr>
        <w:pStyle w:val="BodyText"/>
      </w:pPr>
      <w:r>
        <w:t xml:space="preserve">$485,000</w:t>
      </w:r>
    </w:p>
    <w:p>
      <w:pPr>
        <w:pStyle w:val="BodyText"/>
      </w:pPr>
      <w:r>
        <w:t xml:space="preserve">$712,500</w:t>
      </w:r>
    </w:p>
    <w:p>
      <w:pPr>
        <w:pStyle w:val="BodyText"/>
      </w:pPr>
      <w:r>
        <w:t xml:space="preserve">+46.9%</w:t>
      </w:r>
    </w:p>
    <w:p>
      <w:pPr>
        <w:pStyle w:val="BodyText"/>
      </w:pPr>
      <w:r>
        <w:t xml:space="preserve">New Client Acquisition (Wellington)</w:t>
      </w:r>
    </w:p>
    <w:p>
      <w:pPr>
        <w:pStyle w:val="BodyText"/>
      </w:pPr>
      <w:r>
        <w:t xml:space="preserve">3</w:t>
      </w:r>
    </w:p>
    <w:p>
      <w:pPr>
        <w:pStyle w:val="BodyText"/>
      </w:pPr>
      <w:r>
        <w:t xml:space="preserve">12</w:t>
      </w:r>
    </w:p>
    <w:p>
      <w:pPr>
        <w:pStyle w:val="BodyText"/>
      </w:pPr>
      <w:r>
        <w:t xml:space="preserve">+300%</w:t>
      </w:r>
    </w:p>
    <w:p>
      <w:pPr>
        <w:pStyle w:val="BodyText"/>
      </w:pPr>
      <w:r>
        <w:t xml:space="preserve">&lt;</w:t>
      </w:r>
    </w:p>
    <w:p>
      <w:pPr>
        <w:pStyle w:val="BodyText"/>
      </w:pPr>
      <w:r>
        <w:t xml:space="preserve">74%</w:t>
      </w:r>
    </w:p>
    <w:p>
      <w:pPr>
        <w:pStyle w:val="BodyText"/>
      </w:pPr>
      <w:r>
        <w:t xml:space="preserve">&lt;</w:t>
      </w:r>
    </w:p>
    <w:p>
      <w:pPr>
        <w:pStyle w:val="BodyText"/>
      </w:pPr>
      <w:r>
        <w:t xml:space="preserve">89%</w:t>
      </w:r>
    </w:p>
    <w:p>
      <w:pPr>
        <w:pStyle w:val="BodyText"/>
      </w:pPr>
      <w:r>
        <w:t xml:space="preserve">The Medical Researcher also facilitated "solution co-creation" with clients—e.g., designing a culturally tailored Maori health data collection protocol for a Waikato District Health Board project, which became the cornerstone of a $1.2M contract. This approach directly aligned with New Zealand Wellington's emphasis on community-centered research, differentiating us from competitors.</w:t>
      </w:r>
    </w:p>
    <w:bookmarkEnd w:id="23"/>
    <w:bookmarkStart w:id="24" w:name="X0ac7f63d86165760023ca3e9aae20ca6c94e29b"/>
    <w:p>
      <w:pPr>
        <w:pStyle w:val="Heading2"/>
      </w:pPr>
      <w:r>
        <w:t xml:space="preserve">V. Challenges Addressed in New Zealand Wellington</w:t>
      </w:r>
    </w:p>
    <w:p>
      <w:pPr>
        <w:pStyle w:val="FirstParagraph"/>
      </w:pPr>
      <w:r>
        <w:t xml:space="preserve">Early challenges included navigating complex regulatory landscapes (e.g., Ethics Committee approvals) and building trust within Wellington’s tight-knit medical community. The Medical Researcher overcame these through:</w:t>
      </w:r>
    </w:p>
    <w:p>
      <w:pPr>
        <w:numPr>
          <w:ilvl w:val="0"/>
          <w:numId w:val="1002"/>
        </w:numPr>
        <w:pStyle w:val="Compact"/>
      </w:pPr>
      <w:r>
        <w:rPr>
          <w:bCs/>
          <w:b/>
        </w:rPr>
        <w:t xml:space="preserve">Regulatory Navigation:</w:t>
      </w:r>
      <w:r>
        <w:t xml:space="preserve"> </w:t>
      </w:r>
      <w:r>
        <w:t xml:space="preserve">Reducing approval timelines by 32% via direct liaison with New Zealand's Health Research Council.</w:t>
      </w:r>
    </w:p>
    <w:p>
      <w:pPr>
        <w:numPr>
          <w:ilvl w:val="0"/>
          <w:numId w:val="1002"/>
        </w:numPr>
        <w:pStyle w:val="Compact"/>
      </w:pPr>
      <w:r>
        <w:rPr>
          <w:bCs/>
          <w:b/>
        </w:rPr>
        <w:t xml:space="preserve">Network Expansion:</w:t>
      </w:r>
      <w:r>
        <w:t xml:space="preserve"> </w:t>
      </w:r>
      <w:r>
        <w:t xml:space="preserve">Spearheading 14 Wellington-based scientific symposia (e.g., at Victoria University), attracting 200+ potential clients.</w:t>
      </w:r>
    </w:p>
    <w:p>
      <w:pPr>
        <w:numPr>
          <w:ilvl w:val="0"/>
          <w:numId w:val="1002"/>
        </w:numPr>
        <w:pStyle w:val="Compact"/>
      </w:pPr>
      <w:r>
        <w:rPr>
          <w:bCs/>
          <w:b/>
        </w:rPr>
        <w:t xml:space="preserve">Cultural Integration:</w:t>
      </w:r>
      <w:r>
        <w:t xml:space="preserve"> </w:t>
      </w:r>
      <w:r>
        <w:t xml:space="preserve">Co-developing research ethics frameworks with Māori health providers, elevating our reputation in Aotearoa's healthcare sector.</w:t>
      </w:r>
    </w:p>
    <w:p>
      <w:pPr>
        <w:pStyle w:val="FirstParagraph"/>
      </w:pPr>
      <w:r>
        <w:t xml:space="preserve">These efforts directly resolved a critical sales bottleneck: 87% of Wellington clients previously delayed contracts pending scientific validation—now resolved within 10 business days.</w:t>
      </w:r>
    </w:p>
    <w:bookmarkEnd w:id="24"/>
    <w:bookmarkStart w:id="25" w:name="Xc63a6680f2e33a73a852d5f940130a5f707b7de"/>
    <w:p>
      <w:pPr>
        <w:pStyle w:val="Heading2"/>
      </w:pPr>
      <w:r>
        <w:t xml:space="preserve">VI. Strategic Recommendations for New Zealand Wellington</w:t>
      </w:r>
    </w:p>
    <w:p>
      <w:pPr>
        <w:numPr>
          <w:ilvl w:val="0"/>
          <w:numId w:val="1003"/>
        </w:numPr>
        <w:pStyle w:val="Compact"/>
      </w:pPr>
      <w:r>
        <w:rPr>
          <w:bCs/>
          <w:b/>
        </w:rPr>
        <w:t xml:space="preserve">Expand Medical Researcher Team:</w:t>
      </w:r>
      <w:r>
        <w:t xml:space="preserve"> </w:t>
      </w:r>
      <w:r>
        <w:t xml:space="preserve">Hire a second role focused on digital health analytics to target Wellington's booming medtech startups (e.g., HealthTech Hub Wellington).</w:t>
      </w:r>
    </w:p>
    <w:p>
      <w:pPr>
        <w:numPr>
          <w:ilvl w:val="0"/>
          <w:numId w:val="1003"/>
        </w:numPr>
        <w:pStyle w:val="Compact"/>
      </w:pPr>
      <w:r>
        <w:rPr>
          <w:bCs/>
          <w:b/>
        </w:rPr>
        <w:t xml:space="preserve">Geographic Replication:</w:t>
      </w:r>
      <w:r>
        <w:t xml:space="preserve"> </w:t>
      </w:r>
      <w:r>
        <w:t xml:space="preserve">Deploy the Medical Researcher model to Christchurch and Auckland, leveraging Wellington's success as proof of concept.</w:t>
      </w:r>
    </w:p>
    <w:p>
      <w:pPr>
        <w:numPr>
          <w:ilvl w:val="0"/>
          <w:numId w:val="1003"/>
        </w:numPr>
        <w:pStyle w:val="Compact"/>
      </w:pPr>
      <w:r>
        <w:rPr>
          <w:bCs/>
          <w:b/>
        </w:rPr>
        <w:t xml:space="preserve">Policy Engagement:</w:t>
      </w:r>
      <w:r>
        <w:t xml:space="preserve"> </w:t>
      </w:r>
      <w:r>
        <w:t xml:space="preserve">Partner with the Wellington City Council on a "Research Accelerator Program" to attract EU/US biotech firms—positioning New Zealand Wellington as a global R&amp;D destination.</w:t>
      </w:r>
    </w:p>
    <w:bookmarkEnd w:id="25"/>
    <w:bookmarkStart w:id="26" w:name="X4c863a393ef06ffc7cb920d074d75fd8a48aea0"/>
    <w:p>
      <w:pPr>
        <w:pStyle w:val="Heading2"/>
      </w:pPr>
      <w:r>
        <w:t xml:space="preserve">VII. Conclusion: The Medical Researcher as Sales Catalyst</w:t>
      </w:r>
    </w:p>
    <w:p>
      <w:pPr>
        <w:pStyle w:val="FirstParagraph"/>
      </w:pPr>
      <w:r>
        <w:t xml:space="preserve">This Sales Report conclusively demonstrates that the Medical Researcher role is not an operational cost but a strategic revenue driver in New Zealand Wellington. By embedding scientific expertise into our sales process, we’ve captured 58% of all high-value clinical research contracts in Wellington during 2023—far exceeding industry averages. The integration of this specialist within our Wellington office has transformed how we sell, aligning with the region's unique healthcare needs and regulatory environment. As New Zealand’s medical research sector continues to grow (projected 18% CAGR through 2025), the Medical Researcher position will remain central to our sales strategy in Wellington, directly supporting Pacific Health Innovations’ vision of making New Zealand a global leader in ethical, community-driven medical innovation.</w:t>
      </w:r>
    </w:p>
    <w:p>
      <w:pPr>
        <w:pStyle w:val="BodyText"/>
      </w:pPr>
      <w:r>
        <w:rPr>
          <w:bCs/>
          <w:b/>
        </w:rPr>
        <w:t xml:space="preserve">Prepared by:</w:t>
      </w:r>
      <w:r>
        <w:t xml:space="preserve"> </w:t>
      </w:r>
      <w:r>
        <w:t xml:space="preserve">Sales Strategy Division, Pacific Health Innovations Ltd.</w:t>
      </w:r>
      <w:r>
        <w:br/>
      </w:r>
      <w:r>
        <w:rPr>
          <w:bCs/>
          <w:b/>
        </w:rPr>
        <w:t xml:space="preserve">Location:</w:t>
      </w:r>
      <w:r>
        <w:t xml:space="preserve"> </w:t>
      </w:r>
      <w:r>
        <w:t xml:space="preserve">50 Manners Street, Wellington 6011</w:t>
      </w:r>
      <w:r>
        <w:br/>
      </w:r>
      <w:r>
        <w:rPr>
          <w:bCs/>
          <w:b/>
        </w:rPr>
        <w:t xml:space="preserve">Contact:</w:t>
      </w:r>
      <w:r>
        <w:t xml:space="preserve"> </w:t>
      </w:r>
      <w:r>
        <w:t xml:space="preserve">sales@phid.co.nz | +64 4 802-7733</w:t>
      </w:r>
    </w:p>
    <w:p>
      <w:pPr>
        <w:pStyle w:val="BodyText"/>
      </w:pPr>
      <w:r>
        <w:rPr>
          <w:iCs/>
          <w:i/>
        </w:rPr>
        <w:t xml:space="preserve">"In New Zealand Wellington, the Medical Researcher doesn't just support sales—they redefine them."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Impact in New Zealand Wellington</dc:title>
  <dc:creator/>
  <dc:language>en</dc:language>
  <cp:keywords/>
  <dcterms:created xsi:type="dcterms:W3CDTF">2026-07-24T18:52:15Z</dcterms:created>
  <dcterms:modified xsi:type="dcterms:W3CDTF">2026-07-24T18:52:15Z</dcterms:modified>
</cp:coreProperties>
</file>

<file path=docProps/custom.xml><?xml version="1.0" encoding="utf-8"?>
<Properties xmlns="http://schemas.openxmlformats.org/officeDocument/2006/custom-properties" xmlns:vt="http://schemas.openxmlformats.org/officeDocument/2006/docPropsVTypes"/>
</file>