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Impact</w:t>
      </w:r>
      <w:r>
        <w:t xml:space="preserve"> </w:t>
      </w:r>
      <w:r>
        <w:t xml:space="preserve">in</w:t>
      </w:r>
      <w:r>
        <w:t xml:space="preserve"> </w:t>
      </w:r>
      <w:r>
        <w:t xml:space="preserve">Nigeria</w:t>
      </w:r>
      <w:r>
        <w:t xml:space="preserve"> </w:t>
      </w:r>
      <w:r>
        <w:t xml:space="preserve">Abuja</w:t>
      </w:r>
    </w:p>
    <w:bookmarkStart w:id="28" w:name="X66b8ec1ecd13b8293ca1cd6b9204377c360ca56"/>
    <w:p>
      <w:pPr>
        <w:pStyle w:val="Heading1"/>
      </w:pPr>
      <w:r>
        <w:t xml:space="preserve">Sales Report: Strategic Medical Research Driving Market Growth in Nigeria Abuja</w:t>
      </w:r>
    </w:p>
    <w:bookmarkStart w:id="20" w:name="executive-summary"/>
    <w:p>
      <w:pPr>
        <w:pStyle w:val="Heading2"/>
      </w:pPr>
      <w:r>
        <w:t xml:space="preserve">Executive Summary</w:t>
      </w:r>
    </w:p>
    <w:p>
      <w:pPr>
        <w:pStyle w:val="FirstParagraph"/>
      </w:pPr>
      <w:r>
        <w:t xml:space="preserve">This comprehensive Sales Report details the strategic impact of our dedicated Medical Researcher team within the Nigerian pharmaceutical market, specifically focusing on operations in Abuja. Over the past fiscal year (2023-2024), our research initiatives have directly contributed to a 37% increase in sales revenue for key therapeutic portfolios, positioning us as a market leader in Nigeria's capital city. The synergy between clinical research excellence and commercial strategy has proven indispensable for sustainable growth in Abuja's dynamic healthcare ecosystem.</w:t>
      </w:r>
    </w:p>
    <w:bookmarkEnd w:id="20"/>
    <w:bookmarkStart w:id="21" w:name="Xa624004e488dd8e3633a10547b3a4d78c3741b1"/>
    <w:p>
      <w:pPr>
        <w:pStyle w:val="Heading2"/>
      </w:pPr>
      <w:r>
        <w:t xml:space="preserve">Introduction: Medical Researcher Role in Nigeria Abuja Context</w:t>
      </w:r>
    </w:p>
    <w:p>
      <w:pPr>
        <w:pStyle w:val="FirstParagraph"/>
      </w:pPr>
      <w:r>
        <w:t xml:space="preserve">In the competitive Nigerian pharmaceutical landscape, particularly within Abuja's government-driven healthcare sector, our Medical Researcher team functions as the critical bridge between scientific innovation and commercial success. Operating from our Abuja headquarters—strategically located near federal health ministries and major teaching hospitals—we conduct localized clinical trials, epidemiological studies, and market intelligence gathering that directly inform our sales strategy. Unlike traditional research roles focused solely on publications, our Medical Researchers in Nigeria Abuja work hand-in-hand with the commercial team to translate data into actionable sales opportunities.</w:t>
      </w:r>
    </w:p>
    <w:bookmarkEnd w:id="21"/>
    <w:bookmarkStart w:id="22" w:name="X5b06119937ac0194ec34c3834637cacb3b65078"/>
    <w:p>
      <w:pPr>
        <w:pStyle w:val="Heading2"/>
      </w:pPr>
      <w:r>
        <w:t xml:space="preserve">Key Performance Indicators: Research Driving Sales</w:t>
      </w:r>
    </w:p>
    <w:p>
      <w:pPr>
        <w:pStyle w:val="FirstParagraph"/>
      </w:pPr>
      <w:r>
        <w:t xml:space="preserve">KPI</w:t>
      </w:r>
    </w:p>
    <w:p>
      <w:pPr>
        <w:pStyle w:val="BodyText"/>
      </w:pPr>
      <w:r>
        <w:t xml:space="preserve">Previous Year</w:t>
      </w:r>
    </w:p>
    <w:p>
      <w:pPr>
        <w:pStyle w:val="BodyText"/>
      </w:pPr>
      <w:r>
        <w:t xml:space="preserve">This Year</w:t>
      </w:r>
    </w:p>
    <w:p>
      <w:pPr>
        <w:pStyle w:val="BodyText"/>
      </w:pPr>
      <w:r>
        <w:t xml:space="preserve">% Improvement</w:t>
      </w:r>
    </w:p>
    <w:p>
      <w:pPr>
        <w:pStyle w:val="BodyText"/>
      </w:pPr>
      <w:r>
        <w:t xml:space="preserve">New Product Launches Supported by Research Data</w:t>
      </w:r>
    </w:p>
    <w:p>
      <w:pPr>
        <w:pStyle w:val="BodyText"/>
      </w:pPr>
      <w:r>
        <w:t xml:space="preserve">2 products</w:t>
      </w:r>
    </w:p>
    <w:p>
      <w:pPr>
        <w:pStyle w:val="BodyText"/>
      </w:pPr>
      <w:r>
        <w:t xml:space="preserve">5 products</w:t>
      </w:r>
    </w:p>
    <w:p>
      <w:pPr>
        <w:pStyle w:val="BodyText"/>
      </w:pPr>
      <w:r>
        <w:t xml:space="preserve">150%</w:t>
      </w:r>
    </w:p>
    <w:p>
      <w:pPr>
        <w:pStyle w:val="BodyText"/>
      </w:pPr>
      <w:r>
        <w:t xml:space="preserve">Sales Growth from Evidence-Based Products</w:t>
      </w:r>
    </w:p>
    <w:p>
      <w:pPr>
        <w:pStyle w:val="BodyText"/>
      </w:pPr>
      <w:r>
        <w:t xml:space="preserve">N/A (pre-research)</w:t>
      </w:r>
    </w:p>
    <w:p>
      <w:pPr>
        <w:pStyle w:val="BodyText"/>
      </w:pPr>
      <w:r>
        <w:t xml:space="preserve">37% YoY</w:t>
      </w:r>
    </w:p>
    <w:p>
      <w:pPr>
        <w:pStyle w:val="BodyText"/>
      </w:pPr>
      <w:r>
        <w:t xml:space="preserve">Physician Engagement Rate in Abuja Market</w:t>
      </w:r>
    </w:p>
    <w:p>
      <w:pPr>
        <w:pStyle w:val="BodyText"/>
      </w:pPr>
      <w:r>
        <w:t xml:space="preserve">42%</w:t>
      </w:r>
    </w:p>
    <w:p>
      <w:pPr>
        <w:pStyle w:val="BodyText"/>
      </w:pPr>
      <w:r>
        <w:t xml:space="preserve">68%</w:t>
      </w:r>
    </w:p>
    <w:p>
      <w:pPr>
        <w:pStyle w:val="BodyText"/>
      </w:pPr>
      <w:r>
        <w:t xml:space="preserve">61.9%</w:t>
      </w:r>
    </w:p>
    <w:p>
      <w:pPr>
        <w:pStyle w:val="BodyText"/>
      </w:pPr>
      <w:r>
        <w:t xml:space="preserve">Sales Cycle Reduction (from trial to prescription)</w:t>
      </w:r>
    </w:p>
    <w:p>
      <w:pPr>
        <w:pStyle w:val="BodyText"/>
      </w:pPr>
      <w:r>
        <w:t xml:space="preserve">14 weeks</w:t>
      </w:r>
    </w:p>
    <w:p>
      <w:pPr>
        <w:pStyle w:val="BodyText"/>
      </w:pPr>
      <w:r>
        <w:t xml:space="preserve">8 weeks</w:t>
      </w:r>
      <w:r>
        <w:t xml:space="preserve"> </w:t>
      </w:r>
      <w:r>
        <w:t xml:space="preserve">td&gt;</w:t>
      </w:r>
      <w:r>
        <w:rPr>
          <w:bCs/>
          <w:b/>
        </w:rPr>
        <w:t xml:space="preserve">-42.8%</w:t>
      </w:r>
    </w:p>
    <w:bookmarkEnd w:id="22"/>
    <w:bookmarkStart w:id="23" w:name="X61bce293d029c8fff0ce1bd835fa5502dac7698"/>
    <w:p>
      <w:pPr>
        <w:pStyle w:val="Heading2"/>
      </w:pPr>
      <w:r>
        <w:t xml:space="preserve">Market Analysis: Abuja Healthcare Dynamics</w:t>
      </w:r>
    </w:p>
    <w:p>
      <w:pPr>
        <w:pStyle w:val="FirstParagraph"/>
      </w:pPr>
      <w:r>
        <w:t xml:space="preserve">Nigeria's capital city presents unique opportunities for medical research-driven sales growth. Abuja's federal healthcare infrastructure—including the National Hospital, University of Abuja Teaching Hospital, and numerous public clinics—provides an ideal environment for clinical trials that directly address prevalent diseases like malaria (affecting 60% of population), hypertension (32% prevalence), and diabetes (18.9%). Our Medical Researcher team has conducted 12 localized studies in Abuja this year, including the landmark "Abuja Diabetes Management Initiative" which identified critical gaps in treatment adherence. This research directly informed our sales strategy for the new Glucovance® formulation, resulting in a 45% market share increase among Abuja-based endocrinologists.</w:t>
      </w:r>
    </w:p>
    <w:p>
      <w:pPr>
        <w:pStyle w:val="BodyText"/>
      </w:pPr>
      <w:r>
        <w:t xml:space="preserve">Crucially, our team discovered that 68% of Abuja healthcare providers prioritize locally validated clinical data over international studies—a finding that reshaped our entire sales pitch. By embedding Medical Researchers within the sales field teams during hospital visits, we've achieved a 3.2x higher conversion rate for evidence-based product discussions compared to traditional sales approaches.</w:t>
      </w:r>
    </w:p>
    <w:bookmarkEnd w:id="23"/>
    <w:bookmarkStart w:id="24" w:name="Xe11c815a56a08daad8262ab83a85ce16664fcc5"/>
    <w:p>
      <w:pPr>
        <w:pStyle w:val="Heading2"/>
      </w:pPr>
      <w:r>
        <w:t xml:space="preserve">Challenges Overcome: Research as Sales Accelerator</w:t>
      </w:r>
    </w:p>
    <w:p>
      <w:pPr>
        <w:pStyle w:val="FirstParagraph"/>
      </w:pPr>
      <w:r>
        <w:t xml:space="preserve">Operating in Nigeria Abuja presented significant hurdles that our Medical Researchers transformed into sales opportunities:</w:t>
      </w:r>
    </w:p>
    <w:p>
      <w:pPr>
        <w:numPr>
          <w:ilvl w:val="0"/>
          <w:numId w:val="1001"/>
        </w:numPr>
        <w:pStyle w:val="Compact"/>
      </w:pPr>
      <w:r>
        <w:rPr>
          <w:bCs/>
          <w:b/>
        </w:rPr>
        <w:t xml:space="preserve">Clinical Data Gap:</w:t>
      </w:r>
      <w:r>
        <w:t xml:space="preserve"> </w:t>
      </w:r>
      <w:r>
        <w:t xml:space="preserve">Initial resistance from Nigerian physicians due to lack of local efficacy data. Our researchers conducted 3 pivotal studies comparing our antimalarials against regional strains, generating compelling Abuja-specific evidence that directly increased prescription rates by 52%.</w:t>
      </w:r>
    </w:p>
    <w:p>
      <w:pPr>
        <w:numPr>
          <w:ilvl w:val="0"/>
          <w:numId w:val="1001"/>
        </w:numPr>
        <w:pStyle w:val="Compact"/>
      </w:pPr>
      <w:r>
        <w:rPr>
          <w:bCs/>
          <w:b/>
        </w:rPr>
        <w:t xml:space="preserve">Regulatory Complexity:</w:t>
      </w:r>
      <w:r>
        <w:t xml:space="preserve"> </w:t>
      </w:r>
      <w:r>
        <w:t xml:space="preserve">Navigating Nigeria's National Agency for Food and Drug Administration (NAFDAC) requirements. Our Medical Researchers developed a streamlined documentation protocol accepted by all Abuja regulatory bodies, reducing approval timelines by 31% and accelerating product launches.</w:t>
      </w:r>
    </w:p>
    <w:p>
      <w:pPr>
        <w:numPr>
          <w:ilvl w:val="0"/>
          <w:numId w:val="1001"/>
        </w:numPr>
        <w:pStyle w:val="Compact"/>
      </w:pPr>
      <w:r>
        <w:rPr>
          <w:bCs/>
          <w:b/>
        </w:rPr>
        <w:t xml:space="preserve">Cultural Misalignment:</w:t>
      </w:r>
      <w:r>
        <w:t xml:space="preserve"> </w:t>
      </w:r>
      <w:r>
        <w:t xml:space="preserve">Traditional sales approaches failed in Abuja's community-centered healthcare model. By conducting ethnographic research on patient decision-making processes (involving 247 focus groups across Abuja communities), we redesigned our sales training to emphasize community health worker collaboration—resulting in 63% higher adoption among primary care facilities.</w:t>
      </w:r>
    </w:p>
    <w:bookmarkEnd w:id="24"/>
    <w:bookmarkStart w:id="25" w:name="quantifiable-sales-impact"/>
    <w:p>
      <w:pPr>
        <w:pStyle w:val="Heading2"/>
      </w:pPr>
      <w:r>
        <w:t xml:space="preserve">Quantifiable Sales Impact</w:t>
      </w:r>
    </w:p>
    <w:p>
      <w:pPr>
        <w:pStyle w:val="FirstParagraph"/>
      </w:pPr>
      <w:r>
        <w:t xml:space="preserve">The most significant outcome of our Medical Researcher initiative is the measurable revenue impact:</w:t>
      </w:r>
    </w:p>
    <w:p>
      <w:pPr>
        <w:numPr>
          <w:ilvl w:val="0"/>
          <w:numId w:val="1002"/>
        </w:numPr>
        <w:pStyle w:val="Compact"/>
      </w:pPr>
      <w:r>
        <w:rPr>
          <w:bCs/>
          <w:b/>
        </w:rPr>
        <w:t xml:space="preserve">Product Portfolio Transformation:</w:t>
      </w:r>
      <w:r>
        <w:t xml:space="preserve"> </w:t>
      </w:r>
      <w:r>
        <w:t xml:space="preserve">Research data from Abuja-based studies enabled us to reposition 7 products for local disease patterns, generating ₦1.8 billion ($2.1 million) in new sales within 6 months of launch.</w:t>
      </w:r>
    </w:p>
    <w:p>
      <w:pPr>
        <w:numPr>
          <w:ilvl w:val="0"/>
          <w:numId w:val="1002"/>
        </w:numPr>
        <w:pStyle w:val="Compact"/>
      </w:pPr>
      <w:r>
        <w:rPr>
          <w:bCs/>
          <w:b/>
        </w:rPr>
        <w:t xml:space="preserve">Sales Team Empowerment:</w:t>
      </w:r>
      <w:r>
        <w:t xml:space="preserve"> </w:t>
      </w:r>
      <w:r>
        <w:t xml:space="preserve">Medical Researchers now accompany field sales teams on 95% of key account visits in Abuja. This has shortened the decision cycle for major hospital contracts by an average of 24 days, directly contributing to a ₦430 million ($500,000) increase in institutional sales.</w:t>
      </w:r>
    </w:p>
    <w:p>
      <w:pPr>
        <w:numPr>
          <w:ilvl w:val="0"/>
          <w:numId w:val="1002"/>
        </w:numPr>
        <w:pStyle w:val="Compact"/>
      </w:pPr>
      <w:r>
        <w:rPr>
          <w:bCs/>
          <w:b/>
        </w:rPr>
        <w:t xml:space="preserve">Competitive Differentiation:</w:t>
      </w:r>
      <w:r>
        <w:t xml:space="preserve"> </w:t>
      </w:r>
      <w:r>
        <w:t xml:space="preserve">Our "Abuja Clinical Evidence Package" (developed by Medical Researchers) has become the industry standard. Competitors now require similar local data to win contracts, with 12 of Abuja's top 20 hospitals specifically requesting our research documentation during procurement.</w:t>
      </w:r>
    </w:p>
    <w:bookmarkEnd w:id="25"/>
    <w:bookmarkStart w:id="26" w:name="X1151db95f377e7458d30473fe8e1af5af89d1cb"/>
    <w:p>
      <w:pPr>
        <w:pStyle w:val="Heading2"/>
      </w:pPr>
      <w:r>
        <w:t xml:space="preserve">Future Outlook: Research-Driven Sales Strategy</w:t>
      </w:r>
    </w:p>
    <w:p>
      <w:pPr>
        <w:pStyle w:val="FirstParagraph"/>
      </w:pPr>
      <w:r>
        <w:t xml:space="preserve">Building on this success, our 2024 strategy focuses on scaling the Medical Researcher model across Nigeria while deepening Abuja market penetration. Key initiatives include:</w:t>
      </w:r>
    </w:p>
    <w:p>
      <w:pPr>
        <w:numPr>
          <w:ilvl w:val="0"/>
          <w:numId w:val="1003"/>
        </w:numPr>
        <w:pStyle w:val="Compact"/>
      </w:pPr>
      <w:r>
        <w:rPr>
          <w:bCs/>
          <w:b/>
        </w:rPr>
        <w:t xml:space="preserve">Abuja Research Hub Expansion:</w:t>
      </w:r>
      <w:r>
        <w:t xml:space="preserve"> </w:t>
      </w:r>
      <w:r>
        <w:t xml:space="preserve">Allocating ₦50 million ($58,000) to establish a dedicated research center within our Abuja office, targeting 4 new therapeutic studies annually</w:t>
      </w:r>
    </w:p>
    <w:p>
      <w:pPr>
        <w:numPr>
          <w:ilvl w:val="0"/>
          <w:numId w:val="1003"/>
        </w:numPr>
        <w:pStyle w:val="Compact"/>
      </w:pPr>
      <w:r>
        <w:rPr>
          <w:bCs/>
          <w:b/>
        </w:rPr>
        <w:t xml:space="preserve">Sales-Research Integration:</w:t>
      </w:r>
      <w:r>
        <w:t xml:space="preserve"> </w:t>
      </w:r>
      <w:r>
        <w:t xml:space="preserve">Implementing real-time data dashboards that feed clinical findings directly into sales territory planning for Abuja's 12 health districts</w:t>
      </w:r>
    </w:p>
    <w:p>
      <w:pPr>
        <w:numPr>
          <w:ilvl w:val="0"/>
          <w:numId w:val="1003"/>
        </w:numPr>
        <w:pStyle w:val="Compact"/>
      </w:pPr>
      <w:r>
        <w:rPr>
          <w:bCs/>
          <w:b/>
        </w:rPr>
        <w:t xml:space="preserve">Local Capacity Building:</w:t>
      </w:r>
      <w:r>
        <w:t xml:space="preserve"> </w:t>
      </w:r>
      <w:r>
        <w:t xml:space="preserve">Partnering with Ahmadu Bello University in Abuja to train 30 Nigerian Medical Researchers annually, ensuring sustainable growth of this critical function</w:t>
      </w:r>
    </w:p>
    <w:p>
      <w:pPr>
        <w:pStyle w:val="FirstParagraph"/>
      </w:pPr>
      <w:r>
        <w:t xml:space="preserve">This Sales Report underscores that the Medical Researcher role is no longer peripheral to sales success in Nigeria Abuja—it is the central engine driving market leadership. The data we generate directly shapes our commercial strategy, validates our products to local healthcare providers, and creates undeniable value that translates into revenue growth. As one of Abuja's leading hospital administrators noted: "Your research doesn't just support your products—it redefines what's possible for patient care here."</w:t>
      </w:r>
    </w:p>
    <w:bookmarkEnd w:id="26"/>
    <w:bookmarkStart w:id="27" w:name="conclusion"/>
    <w:p>
      <w:pPr>
        <w:pStyle w:val="Heading2"/>
      </w:pPr>
      <w:r>
        <w:t xml:space="preserve">Conclusion</w:t>
      </w:r>
    </w:p>
    <w:p>
      <w:pPr>
        <w:pStyle w:val="FirstParagraph"/>
      </w:pPr>
      <w:r>
        <w:t xml:space="preserve">The integration of Medical Researcher expertise within our sales framework has fundamentally transformed our market position in Nigeria Abuja. By prioritizing locally generated evidence, we've achieved sustainable growth that outperforms industry averages by 3.1x. This model proves that in Africa's rapidly evolving healthcare markets, scientific rigor directly fuels commercial success. As we expand this approach nationwide, the Abuja hub will remain our blueprint for research-led sales excellence—a testament to how Medical Researcher initiatives can drive measurable business impact across Nigeria's most dynamic market.</w:t>
      </w:r>
    </w:p>
    <w:p>
      <w:pPr>
        <w:pStyle w:val="BodyText"/>
      </w:pPr>
      <w:r>
        <w:rPr>
          <w:iCs/>
          <w:i/>
        </w:rPr>
        <w:t xml:space="preserve">Sales Report Authored by: Global Commercial Strategy Team</w:t>
      </w:r>
      <w:r>
        <w:br/>
      </w:r>
      <w:r>
        <w:rPr>
          <w:iCs/>
          <w:i/>
        </w:rPr>
        <w:t xml:space="preserve">Prepared for: Executive Leadership, Nigeria Abuja Operations</w:t>
      </w:r>
      <w:r>
        <w:br/>
      </w: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Researcher Impact in Nigeria Abuja</dc:title>
  <dc:creator/>
  <dc:language>en</dc:language>
  <cp:keywords/>
  <dcterms:created xsi:type="dcterms:W3CDTF">2026-07-24T15:12:19Z</dcterms:created>
  <dcterms:modified xsi:type="dcterms:W3CDTF">2026-07-24T15:12:19Z</dcterms:modified>
</cp:coreProperties>
</file>

<file path=docProps/custom.xml><?xml version="1.0" encoding="utf-8"?>
<Properties xmlns="http://schemas.openxmlformats.org/officeDocument/2006/custom-properties" xmlns:vt="http://schemas.openxmlformats.org/officeDocument/2006/docPropsVTypes"/>
</file>