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Islamabad,</w:t>
      </w:r>
      <w:r>
        <w:t xml:space="preserve"> </w:t>
      </w:r>
      <w:r>
        <w:t xml:space="preserve">Pakistan</w:t>
      </w:r>
    </w:p>
    <w:bookmarkStart w:id="31" w:name="Xe9f012b3cf4d2d2c1429cf55d9e43c609d4ad48"/>
    <w:p>
      <w:pPr>
        <w:pStyle w:val="Heading1"/>
      </w:pPr>
      <w:r>
        <w:t xml:space="preserve">SALES PERFORMANCE REPORT FOR MEDICAL RESEARCHER ACTIVITIES IN ISLAMABAD, PAKISTAN</w:t>
      </w:r>
    </w:p>
    <w:p>
      <w:pPr>
        <w:pStyle w:val="FirstParagraph"/>
      </w:pPr>
      <w:r>
        <w:t xml:space="preserve">Prepared for Strategic Leadership Team | Q3 2023 | Confidential</w:t>
      </w:r>
    </w:p>
    <w:bookmarkStart w:id="20" w:name="executive-summary"/>
    <w:p>
      <w:pPr>
        <w:pStyle w:val="Heading2"/>
      </w:pPr>
      <w:r>
        <w:t xml:space="preserve">Executive Summary</w:t>
      </w:r>
    </w:p>
    <w:p>
      <w:pPr>
        <w:pStyle w:val="FirstParagraph"/>
      </w:pPr>
      <w:r>
        <w:t xml:space="preserve">This comprehensive sales performance report details the critical contributions of Medical Researchers within Islamabad's healthcare ecosystem. The findings demonstrate how our strategic investment in local medical research talent has directly driven revenue growth across pharmaceutical and diagnostic product lines, establishing Pakistan Islamabad as a pivotal hub for evidence-based healthcare innovation. Our Medical Researchers have generated PKR 287 million in new sales through clinical trial support, data-driven marketing initiatives, and physician engagement – representing a 34% year-over-year increase. This report confirms that Medical Researcher expertise is not merely an operational function but a core revenue driver for our Pakistan operations.</w:t>
      </w:r>
    </w:p>
    <w:bookmarkEnd w:id="20"/>
    <w:bookmarkStart w:id="21" w:name="X49e11008b569759d9637ca14beb25482a492dc2"/>
    <w:p>
      <w:pPr>
        <w:pStyle w:val="Heading2"/>
      </w:pPr>
      <w:r>
        <w:t xml:space="preserve">Market Context: Islamabad's Strategic Position</w:t>
      </w:r>
    </w:p>
    <w:p>
      <w:pPr>
        <w:pStyle w:val="FirstParagraph"/>
      </w:pPr>
      <w:r>
        <w:t xml:space="preserve">Islamabad serves as Pakistan's premier healthcare research nexus, hosting the National Institute of Health (NIH), Shifa International Hospital Research Centre, and multiple university-affiliated medical institutions. With 68% of Pakistan's clinical trials now conducted in Islamabad due to its regulatory infrastructure and skilled workforce (Pakistan Medical Commission, 2023), our Medical Researchers operate at the epicenter of national healthcare innovation. The city's concentration of specialists – including 147 cardiologists, 93 oncologists, and 205 endocrinologists – creates an unparalleled environment for evidence generation that directly informs product positioning and sales strategies.</w:t>
      </w:r>
    </w:p>
    <w:bookmarkEnd w:id="21"/>
    <w:bookmarkStart w:id="25" w:name="X2b4d97ccb4f27ce662faebfdcc268c8a62e47bc"/>
    <w:p>
      <w:pPr>
        <w:pStyle w:val="Heading2"/>
      </w:pPr>
      <w:r>
        <w:t xml:space="preserve">Medical Researcher Impact on Sales Performance</w:t>
      </w:r>
    </w:p>
    <w:bookmarkStart w:id="22" w:name="clinical-trial-driven-product-launches"/>
    <w:p>
      <w:pPr>
        <w:pStyle w:val="Heading3"/>
      </w:pPr>
      <w:r>
        <w:t xml:space="preserve">Clinical Trial-Driven Product Launches</w:t>
      </w:r>
    </w:p>
    <w:p>
      <w:pPr>
        <w:pStyle w:val="FirstParagraph"/>
      </w:pPr>
      <w:r>
        <w:t xml:space="preserve">Our Islamabad-based Medical Researchers executed 17 pivotal clinical trials in Q3, directly enabling three major product launches:</w:t>
      </w:r>
    </w:p>
    <w:p>
      <w:pPr>
        <w:numPr>
          <w:ilvl w:val="0"/>
          <w:numId w:val="1001"/>
        </w:numPr>
        <w:pStyle w:val="Compact"/>
      </w:pPr>
      <w:r>
        <w:rPr>
          <w:bCs/>
          <w:b/>
        </w:rPr>
        <w:t xml:space="preserve">Glucovita Plus:</w:t>
      </w:r>
      <w:r>
        <w:t xml:space="preserve"> </w:t>
      </w:r>
      <w:r>
        <w:t xml:space="preserve">Phase III trial data (conducted with Fatima Jinnah Medical University) secured regulatory approval and generated PKR 112 million in first-quarter sales</w:t>
      </w:r>
    </w:p>
    <w:p>
      <w:pPr>
        <w:numPr>
          <w:ilvl w:val="0"/>
          <w:numId w:val="1001"/>
        </w:numPr>
        <w:pStyle w:val="Compact"/>
      </w:pPr>
      <w:r>
        <w:rPr>
          <w:bCs/>
          <w:b/>
        </w:rPr>
        <w:t xml:space="preserve">Dynascreen Diagnostics Kit:</w:t>
      </w:r>
      <w:r>
        <w:t xml:space="preserve"> </w:t>
      </w:r>
      <w:r>
        <w:t xml:space="preserve">Multi-center trial at Islamabad Hospital Network demonstrated 23% higher accuracy than competitors, driving a 41% market share increase in diagnostic segment</w:t>
      </w:r>
    </w:p>
    <w:p>
      <w:pPr>
        <w:numPr>
          <w:ilvl w:val="0"/>
          <w:numId w:val="1001"/>
        </w:numPr>
        <w:pStyle w:val="Compact"/>
      </w:pPr>
      <w:r>
        <w:rPr>
          <w:bCs/>
          <w:b/>
        </w:rPr>
        <w:t xml:space="preserve">CardioCare Adherence Program:</w:t>
      </w:r>
      <w:r>
        <w:t xml:space="preserve"> </w:t>
      </w:r>
      <w:r>
        <w:t xml:space="preserve">Real-world evidence from Islamabad patient cohort increased prescription rates by 29%</w:t>
      </w:r>
    </w:p>
    <w:bookmarkEnd w:id="22"/>
    <w:bookmarkStart w:id="23" w:name="Xbd17531dfe4db9eab4e2e2562ede0886ba95ef9"/>
    <w:p>
      <w:pPr>
        <w:pStyle w:val="Heading3"/>
      </w:pPr>
      <w:r>
        <w:t xml:space="preserve">Physician Engagement &amp; Data-Driven Marketing</w:t>
      </w:r>
    </w:p>
    <w:p>
      <w:pPr>
        <w:pStyle w:val="FirstParagraph"/>
      </w:pPr>
      <w:r>
        <w:t xml:space="preserve">Medical Researchers developed region-specific clinical data packages that directly influenced prescribing behavior:</w:t>
      </w:r>
    </w:p>
    <w:p>
      <w:pPr>
        <w:numPr>
          <w:ilvl w:val="0"/>
          <w:numId w:val="1002"/>
        </w:numPr>
        <w:pStyle w:val="Compact"/>
      </w:pPr>
      <w:r>
        <w:t xml:space="preserve">Customized diabetes management reports using Islamabad-based patient data increased HCP (Healthcare Professional) engagement by 67%</w:t>
      </w:r>
    </w:p>
    <w:p>
      <w:pPr>
        <w:numPr>
          <w:ilvl w:val="0"/>
          <w:numId w:val="1002"/>
        </w:numPr>
        <w:pStyle w:val="Compact"/>
      </w:pPr>
      <w:r>
        <w:t xml:space="preserve">Evidence packs highlighting comparative efficacy in South Asian populations boosted sales of our primary care line by PKR 89 million</w:t>
      </w:r>
    </w:p>
    <w:p>
      <w:pPr>
        <w:numPr>
          <w:ilvl w:val="0"/>
          <w:numId w:val="1002"/>
        </w:numPr>
        <w:pStyle w:val="Compact"/>
      </w:pPr>
      <w:r>
        <w:t xml:space="preserve">Medical Researchers conducted 212 physician education sessions across Islamabad, directly contributing to a 38% increase in new prescription volume</w:t>
      </w:r>
    </w:p>
    <w:bookmarkEnd w:id="23"/>
    <w:bookmarkStart w:id="24" w:name="sales-data-highlights-q3-2023"/>
    <w:p>
      <w:pPr>
        <w:pStyle w:val="Heading3"/>
      </w:pPr>
      <w:r>
        <w:t xml:space="preserve">Sales Data Highlights (Q3 2023)</w:t>
      </w:r>
    </w:p>
    <w:p>
      <w:pPr>
        <w:pStyle w:val="FirstParagraph"/>
      </w:pPr>
      <w:r>
        <w:t xml:space="preserve">Product Line</w:t>
      </w:r>
    </w:p>
    <w:p>
      <w:pPr>
        <w:pStyle w:val="BodyText"/>
      </w:pPr>
      <w:r>
        <w:t xml:space="preserve">Sales Impact (PKR)</w:t>
      </w:r>
    </w:p>
    <w:p>
      <w:pPr>
        <w:pStyle w:val="BodyText"/>
      </w:pPr>
      <w:r>
        <w:t xml:space="preserve">% of Total Sales Growth</w:t>
      </w:r>
    </w:p>
    <w:p>
      <w:pPr>
        <w:pStyle w:val="BodyText"/>
      </w:pPr>
      <w:r>
        <w:t xml:space="preserve">Medical Researcher Contribution Factor</w:t>
      </w:r>
    </w:p>
    <w:p>
      <w:pPr>
        <w:pStyle w:val="BodyText"/>
      </w:pPr>
      <w:r>
        <w:t xml:space="preserve">Cardiovascular Therapeutics</w:t>
      </w:r>
    </w:p>
    <w:p>
      <w:pPr>
        <w:pStyle w:val="BodyText"/>
      </w:pPr>
      <w:r>
        <w:t xml:space="preserve">112,450,000</w:t>
      </w:r>
    </w:p>
    <w:p>
      <w:pPr>
        <w:pStyle w:val="BodyText"/>
      </w:pPr>
      <w:r>
        <w:t xml:space="preserve">38.6%</w:t>
      </w:r>
    </w:p>
    <w:p>
      <w:pPr>
        <w:pStyle w:val="BodyText"/>
      </w:pPr>
      <w:r>
        <w:t xml:space="preserve">Clinical trial support &amp; HCP data presentation</w:t>
      </w:r>
    </w:p>
    <w:p>
      <w:pPr>
        <w:pStyle w:val="BodyText"/>
      </w:pPr>
      <w:r>
        <w:t xml:space="preserve">Diagnostics Solutions</w:t>
      </w:r>
    </w:p>
    <w:p>
      <w:pPr>
        <w:pStyle w:val="BodyText"/>
      </w:pPr>
      <w:r>
        <w:t xml:space="preserve">94,125,000</w:t>
      </w:r>
    </w:p>
    <w:p>
      <w:pPr>
        <w:pStyle w:val="BodyText"/>
      </w:pPr>
      <w:r>
        <w:t xml:space="preserve">32.4%</w:t>
      </w:r>
    </w:p>
    <w:p>
      <w:pPr>
        <w:pStyle w:val="BodyText"/>
      </w:pPr>
      <w:r>
        <w:t xml:space="preserve">Real-world evidence generation &amp; validation studies</w:t>
      </w:r>
    </w:p>
    <w:p>
      <w:pPr>
        <w:pStyle w:val="BodyText"/>
      </w:pPr>
      <w:r>
        <w:t xml:space="preserve">Chronic Disease Management</w:t>
      </w:r>
    </w:p>
    <w:p>
      <w:pPr>
        <w:pStyle w:val="BodyText"/>
      </w:pPr>
      <w:r>
        <w:rPr>
          <w:bCs/>
          <w:b/>
        </w:rPr>
        <w:t xml:space="preserve">Total: 287,015,000</w:t>
      </w:r>
    </w:p>
    <w:p>
      <w:pPr>
        <w:pStyle w:val="BodyText"/>
      </w:pPr>
      <w:r>
        <w:rPr>
          <w:bCs/>
          <w:b/>
        </w:rPr>
        <w:t xml:space="preserve">91.4%</w:t>
      </w:r>
    </w:p>
    <w:p>
      <w:pPr>
        <w:pStyle w:val="BodyText"/>
      </w:pPr>
      <w:r>
        <w:rPr>
          <w:iCs/>
          <w:i/>
        </w:rPr>
        <w:t xml:space="preserve">All evidence-based sales initiatives</w:t>
      </w:r>
    </w:p>
    <w:bookmarkEnd w:id="24"/>
    <w:bookmarkEnd w:id="25"/>
    <w:bookmarkStart w:id="26" w:name="critical-success-factors-in-islamabad"/>
    <w:p>
      <w:pPr>
        <w:pStyle w:val="Heading2"/>
      </w:pPr>
      <w:r>
        <w:t xml:space="preserve">Critical Success Factors in Islamabad</w:t>
      </w:r>
    </w:p>
    <w:p>
      <w:pPr>
        <w:pStyle w:val="FirstParagraph"/>
      </w:pPr>
      <w:r>
        <w:t xml:space="preserve">Our Medical Researchers' success stems from three Islamabad-specific advantages:</w:t>
      </w:r>
    </w:p>
    <w:p>
      <w:pPr>
        <w:numPr>
          <w:ilvl w:val="0"/>
          <w:numId w:val="1003"/>
        </w:numPr>
        <w:pStyle w:val="Compact"/>
      </w:pPr>
      <w:r>
        <w:rPr>
          <w:bCs/>
          <w:b/>
        </w:rPr>
        <w:t xml:space="preserve">Cultural &amp; Linguistic Proficiency:</w:t>
      </w:r>
      <w:r>
        <w:t xml:space="preserve"> </w:t>
      </w:r>
      <w:r>
        <w:t xml:space="preserve">Local researchers speak Urdu and English fluently, enabling authentic engagement with Pakistani physicians who trust regional expertise. This reduced communication barriers by 73% compared to offshore teams.</w:t>
      </w:r>
    </w:p>
    <w:p>
      <w:pPr>
        <w:numPr>
          <w:ilvl w:val="0"/>
          <w:numId w:val="1003"/>
        </w:numPr>
        <w:pStyle w:val="Compact"/>
      </w:pPr>
      <w:r>
        <w:rPr>
          <w:bCs/>
          <w:b/>
        </w:rPr>
        <w:t xml:space="preserve">Regulatory Navigation:</w:t>
      </w:r>
      <w:r>
        <w:t xml:space="preserve"> </w:t>
      </w:r>
      <w:r>
        <w:t xml:space="preserve">Deep understanding of Pakistan Medical Council guidelines accelerated trial approvals by 40%, directly shortening time-to-market for new products.</w:t>
      </w:r>
    </w:p>
    <w:p>
      <w:pPr>
        <w:numPr>
          <w:ilvl w:val="0"/>
          <w:numId w:val="1003"/>
        </w:numPr>
        <w:pStyle w:val="Compact"/>
      </w:pPr>
      <w:r>
        <w:rPr>
          <w:bCs/>
          <w:b/>
        </w:rPr>
        <w:t xml:space="preserve">Network Integration:</w:t>
      </w:r>
      <w:r>
        <w:t xml:space="preserve"> </w:t>
      </w:r>
      <w:r>
        <w:t xml:space="preserve">Established relationships with Islamabad's key institutions (e.g., Aga Khan University Hospital, Pakistan Institute of Medical Sciences) enabled rapid patient recruitment and HCP access that would take 6-8 months to develop externally.</w:t>
      </w:r>
    </w:p>
    <w:bookmarkEnd w:id="26"/>
    <w:bookmarkStart w:id="29" w:name="challenges-strategic-recommendations"/>
    <w:p>
      <w:pPr>
        <w:pStyle w:val="Heading2"/>
      </w:pPr>
      <w:r>
        <w:t xml:space="preserve">Challenges &amp; Strategic Recommendations</w:t>
      </w:r>
    </w:p>
    <w:bookmarkStart w:id="27" w:name="key-challenges-identified"/>
    <w:p>
      <w:pPr>
        <w:pStyle w:val="Heading3"/>
      </w:pPr>
      <w:r>
        <w:t xml:space="preserve">Key Challenges Identified</w:t>
      </w:r>
    </w:p>
    <w:p>
      <w:pPr>
        <w:numPr>
          <w:ilvl w:val="0"/>
          <w:numId w:val="1004"/>
        </w:numPr>
        <w:pStyle w:val="Compact"/>
      </w:pPr>
      <w:r>
        <w:t xml:space="preserve">Competing talent acquisition with international firms for senior researchers (cost differential: 18-25% higher for local candidates)</w:t>
      </w:r>
    </w:p>
    <w:p>
      <w:pPr>
        <w:numPr>
          <w:ilvl w:val="0"/>
          <w:numId w:val="1004"/>
        </w:numPr>
        <w:pStyle w:val="Compact"/>
      </w:pPr>
      <w:r>
        <w:t xml:space="preserve">Insufficient laboratory infrastructure at Islamabad research centers requiring external partnerships</w:t>
      </w:r>
    </w:p>
    <w:p>
      <w:pPr>
        <w:numPr>
          <w:ilvl w:val="0"/>
          <w:numId w:val="1004"/>
        </w:numPr>
        <w:pStyle w:val="Compact"/>
      </w:pPr>
      <w:r>
        <w:t xml:space="preserve">Regulatory delays in final approvals despite strong trial data</w:t>
      </w:r>
    </w:p>
    <w:bookmarkEnd w:id="27"/>
    <w:bookmarkStart w:id="28" w:name="X249df6bc3090591912ab56156a6992727aa2082"/>
    <w:p>
      <w:pPr>
        <w:pStyle w:val="Heading3"/>
      </w:pPr>
      <w:r>
        <w:t xml:space="preserve">Action Plan for Islamabad Medical Research Growth</w:t>
      </w:r>
    </w:p>
    <w:p>
      <w:pPr>
        <w:numPr>
          <w:ilvl w:val="0"/>
          <w:numId w:val="1005"/>
        </w:numPr>
        <w:pStyle w:val="Compact"/>
      </w:pPr>
      <w:r>
        <w:rPr>
          <w:bCs/>
          <w:b/>
        </w:rPr>
        <w:t xml:space="preserve">Establish Islamabad Research Hub:</w:t>
      </w:r>
      <w:r>
        <w:t xml:space="preserve"> </w:t>
      </w:r>
      <w:r>
        <w:t xml:space="preserve">Allocate PKR 55 million to upgrade lab facilities at our Islamabad office by Q1 2024, reducing external testing costs by 32%</w:t>
      </w:r>
    </w:p>
    <w:p>
      <w:pPr>
        <w:numPr>
          <w:ilvl w:val="0"/>
          <w:numId w:val="1005"/>
        </w:numPr>
        <w:pStyle w:val="Compact"/>
      </w:pPr>
      <w:r>
        <w:rPr>
          <w:bCs/>
          <w:b/>
        </w:rPr>
        <w:t xml:space="preserve">Talent Pipeline Development:</w:t>
      </w:r>
      <w:r>
        <w:t xml:space="preserve"> </w:t>
      </w:r>
      <w:r>
        <w:t xml:space="preserve">Partner with Quaid-i-Azam University and COMSATS for Medical Researcher internships – targeting 15 new graduates annually</w:t>
      </w:r>
    </w:p>
    <w:p>
      <w:pPr>
        <w:numPr>
          <w:ilvl w:val="0"/>
          <w:numId w:val="1005"/>
        </w:numPr>
        <w:pStyle w:val="Compact"/>
      </w:pPr>
      <w:r>
        <w:rPr>
          <w:bCs/>
          <w:b/>
        </w:rPr>
        <w:t xml:space="preserve">Regulatory Advocacy Group:</w:t>
      </w:r>
      <w:r>
        <w:t xml:space="preserve"> </w:t>
      </w:r>
      <w:r>
        <w:t xml:space="preserve">Form alliance with Islamabad Chamber of Commerce to streamline PMA (Pakistan Medical Association) approval processes</w:t>
      </w:r>
    </w:p>
    <w:p>
      <w:pPr>
        <w:numPr>
          <w:ilvl w:val="0"/>
          <w:numId w:val="1005"/>
        </w:numPr>
        <w:pStyle w:val="Compact"/>
      </w:pPr>
      <w:r>
        <w:rPr>
          <w:bCs/>
          <w:b/>
        </w:rPr>
        <w:t xml:space="preserve">Data Monetization Strategy:</w:t>
      </w:r>
      <w:r>
        <w:t xml:space="preserve"> </w:t>
      </w:r>
      <w:r>
        <w:t xml:space="preserve">Leverage Islamabad's clinical data for secondary sales (e.g., health insurance risk modeling), projecting PKR 42 million in new revenue streams by 2025</w:t>
      </w:r>
    </w:p>
    <w:bookmarkEnd w:id="28"/>
    <w:bookmarkEnd w:id="29"/>
    <w:bookmarkStart w:id="30" w:name="conclusion-forward-view"/>
    <w:p>
      <w:pPr>
        <w:pStyle w:val="Heading2"/>
      </w:pPr>
      <w:r>
        <w:t xml:space="preserve">Conclusion &amp; Forward View</w:t>
      </w:r>
    </w:p>
    <w:p>
      <w:pPr>
        <w:pStyle w:val="FirstParagraph"/>
      </w:pPr>
      <w:r>
        <w:t xml:space="preserve">The Medical Researcher role in Islamabad has transcended traditional research functions to become a central revenue engine for our Pakistan operations. Our data proves that every PKR 1 invested in local medical research talent generates PKR 3.80 in direct sales, with Islamabad's strategic advantages making it the most productive regional center globally for our organization. As Pakistan's healthcare market expands at 12% CAGR (World Bank, 2023), Medical Researchers will be pivotal to capturing this growth – particularly in chronic disease management where Islamabad leads national clinical research.</w:t>
      </w:r>
    </w:p>
    <w:p>
      <w:pPr>
        <w:pStyle w:val="BodyText"/>
      </w:pPr>
      <w:r>
        <w:t xml:space="preserve">Recommendation: Immediately approve the proposed Islamabad Research Hub investment and expand our Medical Researcher team by 40% in Q1 2024. This targeted expansion will position us to capture an estimated PKR 573 million in new sales within two years, solidifying Pakistan's role as a key growth market for our global portfolio.</w:t>
      </w:r>
    </w:p>
    <w:p>
      <w:pPr>
        <w:pStyle w:val="BodyText"/>
      </w:pPr>
      <w:r>
        <w:rPr>
          <w:bCs/>
          <w:b/>
        </w:rPr>
        <w:t xml:space="preserve">Prepared by:</w:t>
      </w:r>
      <w:r>
        <w:br/>
      </w:r>
      <w:r>
        <w:t xml:space="preserve">Dr. Aisha Khan</w:t>
      </w:r>
      <w:r>
        <w:br/>
      </w:r>
      <w:r>
        <w:t xml:space="preserve">Head of Medical Affairs, South Asia</w:t>
      </w:r>
      <w:r>
        <w:br/>
      </w:r>
      <w:r>
        <w:t xml:space="preserve">[Company Name]</w:t>
      </w:r>
      <w:r>
        <w:br/>
      </w:r>
      <w:r>
        <w:t xml:space="preserve">Islamabad,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Islamabad, Pakistan</dc:title>
  <dc:creator/>
  <dc:language>en</dc:language>
  <cp:keywords/>
  <dcterms:created xsi:type="dcterms:W3CDTF">2026-07-24T19:36:34Z</dcterms:created>
  <dcterms:modified xsi:type="dcterms:W3CDTF">2026-07-24T19:36:34Z</dcterms:modified>
</cp:coreProperties>
</file>

<file path=docProps/custom.xml><?xml version="1.0" encoding="utf-8"?>
<Properties xmlns="http://schemas.openxmlformats.org/officeDocument/2006/custom-properties" xmlns:vt="http://schemas.openxmlformats.org/officeDocument/2006/docPropsVTypes"/>
</file>