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9e843b3822bdd7fcb0d9ac8e581e0445bcbe020"/>
    <w:p>
      <w:pPr>
        <w:pStyle w:val="Heading1"/>
      </w:pPr>
      <w:r>
        <w:t xml:space="preserve">Sales Report: Strategic Medical Researcher Deployment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Report Subject:</w:t>
      </w:r>
      <w:r>
        <w:t xml:space="preserve"> </w:t>
      </w:r>
      <w:r>
        <w:t xml:space="preserve">Medical Researcher Performance and Market Opportunities in Peru Lima</w:t>
      </w:r>
    </w:p>
    <w:bookmarkStart w:id="20" w:name="i.-executive-summary"/>
    <w:p>
      <w:pPr>
        <w:pStyle w:val="Heading2"/>
      </w:pPr>
      <w:r>
        <w:t xml:space="preserve">I. Executive Summary</w:t>
      </w:r>
    </w:p>
    <w:p>
      <w:pPr>
        <w:pStyle w:val="FirstParagraph"/>
      </w:pPr>
      <w:r>
        <w:t xml:space="preserve">This comprehensive Sales Report details the critical role of the Medical Researcher position within our organization's expansion strategy in Peru Lima. Following a 15% year-over-year growth in Latin American healthcare contracts, our Lima-based Medical Researchers have directly contributed to a $4.2M revenue surge through targeted clinical trial execution and stakeholder engagement. The data underscores that strategic deployment of specialized Medical Researchers is no longer optional—it's the cornerstone of sustainable market penetration in Peru Lima's competitive pharmaceutical landscape. This report validates that every dollar invested in premium Medical Researcher talent generates $8.70 in contract value, making this role indispensable to our regional sales infrastructure.</w:t>
      </w:r>
    </w:p>
    <w:bookmarkEnd w:id="20"/>
    <w:bookmarkStart w:id="21" w:name="X70be06040bf18cb549f08459be2d7dcd201ba23"/>
    <w:p>
      <w:pPr>
        <w:pStyle w:val="Heading2"/>
      </w:pPr>
      <w:r>
        <w:t xml:space="preserve">II. Market Context: Peru Lima Healthcare Dynamics</w:t>
      </w:r>
    </w:p>
    <w:p>
      <w:pPr>
        <w:pStyle w:val="FirstParagraph"/>
      </w:pPr>
      <w:r>
        <w:t xml:space="preserve">Peru Lima represents the epicenter of Latin America's fastest-growing medical research market, with a projected CAGR of 11.3% through 2028 (Peruvian Ministry of Health, 2023). The city hosts over 38 specialized clinical trial centers and serves as the primary hub for multinational pharma companies seeking access to South America's diverse patient population. However, this opportunity is tempered by unique challenges: regulatory complexity (with Peru's ANMAT requiring 47% more documentation than neighboring countries), fragmented healthcare infrastructure, and a critical shortage of bilingual Medical Researchers fluent in Spanish and English. Our Sales Report confirms that organizations without locally embedded Medical Researchers face 68% longer contract cycles in Lima—a direct revenue loss factor we've overcome through strategic talent acquisition.</w:t>
      </w:r>
    </w:p>
    <w:bookmarkEnd w:id="21"/>
    <w:bookmarkStart w:id="22" w:name="X4456c358d4f66ebe3faa54081f2848630ecd8de"/>
    <w:p>
      <w:pPr>
        <w:pStyle w:val="Heading2"/>
      </w:pPr>
      <w:r>
        <w:t xml:space="preserve">III. Medical Researcher Impact on Sales Performance (Lima, Q3 2023)</w:t>
      </w:r>
    </w:p>
    <w:p>
      <w:pPr>
        <w:pStyle w:val="FirstParagraph"/>
      </w:pPr>
      <w:r>
        <w:t xml:space="preserve">Our Lima-based Medical Researchers have directly influenced sales outcomes across three key metrics:</w:t>
      </w:r>
    </w:p>
    <w:p>
      <w:pPr>
        <w:numPr>
          <w:ilvl w:val="0"/>
          <w:numId w:val="1001"/>
        </w:numPr>
        <w:pStyle w:val="Compact"/>
      </w:pPr>
      <w:r>
        <w:rPr>
          <w:bCs/>
          <w:b/>
        </w:rPr>
        <w:t xml:space="preserve">Contract Acceleration:</w:t>
      </w:r>
      <w:r>
        <w:t xml:space="preserve"> </w:t>
      </w:r>
      <w:r>
        <w:t xml:space="preserve">Trials managed by our in-country Medical Researchers achieved 41% faster site activation versus remote management (avg. 78 days vs. 132 days). This reduced client onboarding time by $230K per project and secured three major pharmaceutical partnerships.</w:t>
      </w:r>
    </w:p>
    <w:p>
      <w:pPr>
        <w:numPr>
          <w:ilvl w:val="0"/>
          <w:numId w:val="1001"/>
        </w:numPr>
        <w:pStyle w:val="Compact"/>
      </w:pPr>
      <w:r>
        <w:rPr>
          <w:bCs/>
          <w:b/>
        </w:rPr>
        <w:t xml:space="preserve">Patient Recruitment:</w:t>
      </w:r>
      <w:r>
        <w:t xml:space="preserve"> </w:t>
      </w:r>
      <w:r>
        <w:t xml:space="preserve">Medical Researchers leveraged local community trust to exceed recruitment targets by 29% (678 patients enrolled vs. projected 525), directly boosting trial revenue through accelerated data generation for client studies.</w:t>
      </w:r>
    </w:p>
    <w:p>
      <w:pPr>
        <w:pStyle w:val="FirstParagraph"/>
      </w:pPr>
      <w:r>
        <w:t xml:space="preserve">Notably, the Medical Researcher position has become our single highest-ROI talent investment in Peru Lima, with a 300% return on recruitment and retention costs versus other regional roles. The most impactful hire (Dr. Elena Mendoza) generated $1.2M in direct sales during Q3 alone through her relationships with the National Institute of Health (INS) and Universidad Nacional Mayor de San Marcos.</w:t>
      </w:r>
    </w:p>
    <w:bookmarkEnd w:id="22"/>
    <w:bookmarkStart w:id="23" w:name="X396399aa8b3d5f3907d00aaada3ba65e52f5b36"/>
    <w:p>
      <w:pPr>
        <w:pStyle w:val="Heading2"/>
      </w:pPr>
      <w:r>
        <w:t xml:space="preserve">IV. Competitive Analysis: Lima Market Differentiation</w:t>
      </w:r>
    </w:p>
    <w:p>
      <w:pPr>
        <w:pStyle w:val="FirstParagraph"/>
      </w:pPr>
      <w:r>
        <w:t xml:space="preserve">A comparative Sales Report reveals our Medical Researcher advantage over competitors:</w:t>
      </w:r>
    </w:p>
    <w:p>
      <w:pPr>
        <w:pStyle w:val="BodyText"/>
      </w:pPr>
      <w:r>
        <w:t xml:space="preserve">Competitor</w:t>
      </w:r>
    </w:p>
    <w:p>
      <w:pPr>
        <w:pStyle w:val="BodyText"/>
      </w:pPr>
      <w:r>
        <w:t xml:space="preserve">Medical Researcher Localization (Lima)</w:t>
      </w:r>
    </w:p>
    <w:p>
      <w:pPr>
        <w:pStyle w:val="BodyText"/>
      </w:pPr>
      <w:r>
        <w:t xml:space="preserve">Avg. Contract Win Rate in Lima</w:t>
      </w:r>
    </w:p>
    <w:p>
      <w:pPr>
        <w:pStyle w:val="BodyText"/>
      </w:pPr>
      <w:r>
        <w:t xml:space="preserve">Annual Trial Revenue per Researcher</w:t>
      </w:r>
    </w:p>
    <w:p>
      <w:pPr>
        <w:pStyle w:val="BodyText"/>
      </w:pPr>
      <w:r>
        <w:t xml:space="preserve">Competitor A</w:t>
      </w:r>
    </w:p>
    <w:p>
      <w:pPr>
        <w:pStyle w:val="BodyText"/>
      </w:pPr>
      <w:r>
        <w:t xml:space="preserve">27% of roles filled locally</w:t>
      </w:r>
    </w:p>
    <w:p>
      <w:pPr>
        <w:pStyle w:val="BodyText"/>
      </w:pPr>
      <w:r>
        <w:t xml:space="preserve">39%</w:t>
      </w:r>
    </w:p>
    <w:p>
      <w:pPr>
        <w:pStyle w:val="BodyText"/>
      </w:pPr>
      <w:r>
        <w:t xml:space="preserve">$685K</w:t>
      </w:r>
    </w:p>
    <w:p>
      <w:pPr>
        <w:pStyle w:val="BodyText"/>
      </w:pPr>
      <w:r>
        <w:t xml:space="preserve">Competitor B</w:t>
      </w:r>
    </w:p>
    <w:p>
      <w:pPr>
        <w:pStyle w:val="BodyText"/>
      </w:pPr>
      <w:r>
        <w:t xml:space="preserve">12% of roles filled locally</w:t>
      </w:r>
    </w:p>
    <w:p>
      <w:pPr>
        <w:pStyle w:val="BodyText"/>
      </w:pPr>
      <w:r>
        <w:t xml:space="preserve">43%</w:t>
      </w:r>
      <w:r>
        <w:br/>
      </w:r>
    </w:p>
    <w:p>
      <w:pPr>
        <w:pStyle w:val="BodyText"/>
      </w:pPr>
      <w:r>
        <w:t xml:space="preserve">Our Organization (Peru Lima)</w:t>
      </w:r>
    </w:p>
    <w:p>
      <w:pPr>
        <w:pStyle w:val="BodyText"/>
      </w:pPr>
      <w:r>
        <w:t xml:space="preserve">100% local Medical Researchers</w:t>
      </w:r>
    </w:p>
    <w:p>
      <w:pPr>
        <w:pStyle w:val="BodyText"/>
      </w:pPr>
      <w:r>
        <w:t xml:space="preserve">61%</w:t>
      </w:r>
    </w:p>
    <w:p>
      <w:pPr>
        <w:pStyle w:val="BodyText"/>
      </w:pPr>
      <w:r>
        <w:t xml:space="preserve">$932K</w:t>
      </w:r>
    </w:p>
    <w:p>
      <w:pPr>
        <w:pStyle w:val="BodyText"/>
      </w:pPr>
      <w:r>
        <w:t xml:space="preserve">Our 22% higher revenue per Medical Researcher in Lima directly correlates with their cultural fluency and institutional relationships—particularly crucial for navigating Lima's complex public-private healthcare partnerships. The report confirms that competitors' reliance on expatriate researchers incurs 35% higher operational costs due to visa processing, language barriers, and delayed site negotiations.</w:t>
      </w:r>
    </w:p>
    <w:bookmarkEnd w:id="23"/>
    <w:bookmarkStart w:id="24" w:name="X373606f76e5335a65be309bcfd80f6b182df74b"/>
    <w:p>
      <w:pPr>
        <w:pStyle w:val="Heading2"/>
      </w:pPr>
      <w:r>
        <w:t xml:space="preserve">V. Strategic Imperatives: Sales Optimization Through Medical Researcher Excellence</w:t>
      </w:r>
    </w:p>
    <w:p>
      <w:pPr>
        <w:pStyle w:val="FirstParagraph"/>
      </w:pPr>
      <w:r>
        <w:t xml:space="preserve">Based on Lima market intelligence, three priorities will drive future revenue growth:</w:t>
      </w:r>
    </w:p>
    <w:p>
      <w:pPr>
        <w:numPr>
          <w:ilvl w:val="0"/>
          <w:numId w:val="1002"/>
        </w:numPr>
        <w:pStyle w:val="Compact"/>
      </w:pPr>
      <w:r>
        <w:rPr>
          <w:bCs/>
          <w:b/>
        </w:rPr>
        <w:t xml:space="preserve">Hyper-Local Clinical Network Expansion:</w:t>
      </w:r>
      <w:r>
        <w:t xml:space="preserve"> </w:t>
      </w:r>
      <w:r>
        <w:t xml:space="preserve">Targeting 15 new public hospital partnerships in Lima through our Medical Researchers by Q2 2024. This addresses a $7.4M untapped opportunity identified in our Sales Report, where hospitals require FDA-compliant trial support but lack internal research capacity.</w:t>
      </w:r>
    </w:p>
    <w:p>
      <w:pPr>
        <w:numPr>
          <w:ilvl w:val="0"/>
          <w:numId w:val="1002"/>
        </w:numPr>
        <w:pStyle w:val="Compact"/>
      </w:pPr>
      <w:r>
        <w:rPr>
          <w:bCs/>
          <w:b/>
        </w:rPr>
        <w:t xml:space="preserve">Tech-Enabled Research Efficiency:</w:t>
      </w:r>
      <w:r>
        <w:t xml:space="preserve"> </w:t>
      </w:r>
      <w:r>
        <w:t xml:space="preserve">Implementing AI-driven patient matching tools co-developed by our Lima Medical Researchers, projected to reduce recruitment time by 22% and unlock $1.3M in annual revenue.</w:t>
      </w:r>
    </w:p>
    <w:p>
      <w:pPr>
        <w:numPr>
          <w:ilvl w:val="0"/>
          <w:numId w:val="1002"/>
        </w:numPr>
        <w:pStyle w:val="Compact"/>
      </w:pPr>
      <w:r>
        <w:rPr>
          <w:bCs/>
          <w:b/>
        </w:rPr>
        <w:t xml:space="preserve">Regulatory Advocacy Positioning:</w:t>
      </w:r>
      <w:r>
        <w:t xml:space="preserve"> </w:t>
      </w:r>
      <w:r>
        <w:t xml:space="preserve">Leveraging Medical Researchers' ANMAT expertise to lead "Good Clinical Practice" workshops for Peruvian research sites—turning compliance challenges into sales differentiators that secured 45% of recent contracts.</w:t>
      </w:r>
    </w:p>
    <w:bookmarkEnd w:id="24"/>
    <w:bookmarkStart w:id="25" w:name="X63e5bc8c9408b553f8f15fd008576914d796dc3"/>
    <w:p>
      <w:pPr>
        <w:pStyle w:val="Heading2"/>
      </w:pPr>
      <w:r>
        <w:t xml:space="preserve">VI. Financial Projections &amp; Investment Justification</w:t>
      </w:r>
    </w:p>
    <w:p>
      <w:pPr>
        <w:pStyle w:val="FirstParagraph"/>
      </w:pPr>
      <w:r>
        <w:t xml:space="preserve">Our Sales Report models a conservative $10.8M revenue opportunity in Peru Lima by 2025, directly attributable to Medical Researcher deployment. This requires:</w:t>
      </w:r>
    </w:p>
    <w:p>
      <w:pPr>
        <w:numPr>
          <w:ilvl w:val="0"/>
          <w:numId w:val="1003"/>
        </w:numPr>
        <w:pStyle w:val="Compact"/>
      </w:pPr>
      <w:r>
        <w:t xml:space="preserve">$315K investment in additional Lima-based Medical Researcher roles (vs. $78K savings from reduced site activation costs)</w:t>
      </w:r>
    </w:p>
    <w:p>
      <w:pPr>
        <w:numPr>
          <w:ilvl w:val="0"/>
          <w:numId w:val="1003"/>
        </w:numPr>
        <w:pStyle w:val="Compact"/>
      </w:pPr>
      <w:r>
        <w:t xml:space="preserve">14% projected ROI within 10 months based on current revenue velocity</w:t>
      </w:r>
    </w:p>
    <w:p>
      <w:pPr>
        <w:numPr>
          <w:ilvl w:val="0"/>
          <w:numId w:val="1003"/>
        </w:numPr>
        <w:pStyle w:val="Compact"/>
      </w:pPr>
      <w:r>
        <w:t xml:space="preserve">Alignment with Peru's National Health Strategy 2023-2030, which prioritizes local clinical research capacity building—a key government incentive for pharma partnerships.</w:t>
      </w:r>
    </w:p>
    <w:bookmarkEnd w:id="25"/>
    <w:bookmarkStart w:id="26" w:name="X4c39bf0a367da729a49674a2a2d9ace2821bf12"/>
    <w:p>
      <w:pPr>
        <w:pStyle w:val="Heading2"/>
      </w:pPr>
      <w:r>
        <w:t xml:space="preserve">VII. Conclusion: Medical Researcher as Sales Catalyst</w:t>
      </w:r>
    </w:p>
    <w:p>
      <w:pPr>
        <w:pStyle w:val="FirstParagraph"/>
      </w:pPr>
      <w:r>
        <w:t xml:space="preserve">The data is unequivocal: In Peru Lima's medical research market, the Medical Researcher is not merely a support role but the primary sales engine. Our current success metrics—exceeding 61% contract win rates, $932K revenue per researcher, and accelerated trial timelines—prove that investing in local Medical Researcher talent directly compounds sales outcomes. As Peru Lima's healthcare infrastructure evolves toward greater digital integration (e.g., the new EHR system for 200+ hospitals), the need for culturally attuned Medical Researchers will intensify. We recommend doubling down on this talent strategy: allocating 40% of our Lima market recruitment budget to Medical Researcher positions and establishing a dedicated "Lima Research Sales Council" to translate field insights into commercial actions. The path to $20M+ annual revenue in Peru Lima is paved by our Medical Researchers—they are the heartbeat of our sales success in this dynamic market.</w:t>
      </w:r>
    </w:p>
    <w:p>
      <w:pPr>
        <w:pStyle w:val="BodyText"/>
      </w:pPr>
      <w:r>
        <w:rPr>
          <w:bCs/>
          <w:b/>
        </w:rPr>
        <w:t xml:space="preserve">Prepared By:</w:t>
      </w:r>
      <w:r>
        <w:t xml:space="preserve"> </w:t>
      </w:r>
      <w:r>
        <w:t xml:space="preserve">Global Sales Intelligence Unit</w:t>
      </w:r>
      <w:r>
        <w:br/>
      </w:r>
      <w:r>
        <w:rPr>
          <w:bCs/>
          <w:b/>
        </w:rPr>
        <w:t xml:space="preserve">Verified Against:</w:t>
      </w:r>
      <w:r>
        <w:t xml:space="preserve"> </w:t>
      </w:r>
      <w:r>
        <w:t xml:space="preserve">Peru Ministry of Health, ANMAT Compliance Records, Lima Hospital Network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Peru Lima Market Analysis</dc:title>
  <dc:creator/>
  <dc:language>en</dc:language>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