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29" w:name="X74b21209b804e1d75d05eaab27e7d5978e4f43f"/>
    <w:p>
      <w:pPr>
        <w:pStyle w:val="Heading1"/>
      </w:pPr>
      <w:r>
        <w:t xml:space="preserve">Sales Report: Strategic Medical Researcher Deployment in Philippines Manila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Healthcare Division</w:t>
      </w:r>
      <w:r>
        <w:br/>
      </w:r>
      <w:r>
        <w:rPr>
          <w:bCs/>
          <w:b/>
        </w:rPr>
        <w:t xml:space="preserve">Report Subject:</w:t>
      </w:r>
      <w:r>
        <w:t xml:space="preserve"> </w:t>
      </w:r>
      <w:r>
        <w:t xml:space="preserve">Sales Performance Analysis and Strategic Recommendations for Medical Researcher Operations in Philippines Manila</w:t>
      </w:r>
    </w:p>
    <w:bookmarkStart w:id="20" w:name="i.-executive-summary"/>
    <w:p>
      <w:pPr>
        <w:pStyle w:val="Heading2"/>
      </w:pPr>
      <w:r>
        <w:t xml:space="preserve">I. Executive Summary</w:t>
      </w:r>
    </w:p>
    <w:p>
      <w:pPr>
        <w:pStyle w:val="FirstParagraph"/>
      </w:pPr>
      <w:r>
        <w:t xml:space="preserve">This comprehensive Sales Report details the critical role of the</w:t>
      </w:r>
      <w:r>
        <w:t xml:space="preserve"> </w:t>
      </w:r>
      <w:r>
        <w:rPr>
          <w:iCs/>
          <w:i/>
        </w:rPr>
        <w:t xml:space="preserve">Medical Researcher</w:t>
      </w:r>
      <w:r>
        <w:t xml:space="preserve"> </w:t>
      </w:r>
      <w:r>
        <w:t xml:space="preserve">position within our strategic expansion into the Philippines Manila healthcare market. With Manila representing one of Southeast Asia's most dynamic pharmaceutical and clinical research hubs, this report demonstrates how targeted deployment of skilled Medical Researchers directly drives revenue growth, client acquisition, and competitive differentiation. Our analysis confirms that every $1 invested in specialized Medical Researcher resources generates approximately $4.70 in sales pipeline value within the Philippines Manila market – a metric surpassing regional averages by 32%. This document provides actionable insights for optimizing our sales strategy through enhanced Medical Researcher capabilities.</w:t>
      </w:r>
    </w:p>
    <w:bookmarkEnd w:id="20"/>
    <w:bookmarkStart w:id="21" w:name="Xfc258f2555f36be3d2523a2950340a5c45df297"/>
    <w:p>
      <w:pPr>
        <w:pStyle w:val="Heading2"/>
      </w:pPr>
      <w:r>
        <w:t xml:space="preserve">II. Market Context: Philippines Manila Healthcare Landscape</w:t>
      </w:r>
    </w:p>
    <w:p>
      <w:pPr>
        <w:pStyle w:val="FirstParagraph"/>
      </w:pPr>
      <w:r>
        <w:t xml:space="preserve">The Philippines Manila region has emerged as a pivotal center for clinical trials and medical research, driven by three key factors:</w:t>
      </w:r>
    </w:p>
    <w:p>
      <w:pPr>
        <w:numPr>
          <w:ilvl w:val="0"/>
          <w:numId w:val="1001"/>
        </w:numPr>
        <w:pStyle w:val="Compact"/>
      </w:pPr>
      <w:r>
        <w:rPr>
          <w:bCs/>
          <w:b/>
        </w:rPr>
        <w:t xml:space="preserve">Regulatory Advancement:</w:t>
      </w:r>
      <w:r>
        <w:t xml:space="preserve"> </w:t>
      </w:r>
      <w:r>
        <w:t xml:space="preserve">The Food and Drug Administration (FDA) of the Philippines has accelerated approval pathways for innovative therapies, particularly in oncology and rare diseases – creating immediate demand for specialized research expertise.</w:t>
      </w:r>
    </w:p>
    <w:p>
      <w:pPr>
        <w:numPr>
          <w:ilvl w:val="0"/>
          <w:numId w:val="1001"/>
        </w:numPr>
        <w:pStyle w:val="Compact"/>
      </w:pPr>
      <w:r>
        <w:rPr>
          <w:bCs/>
          <w:b/>
        </w:rPr>
        <w:t xml:space="preserve">Investment Surge:</w:t>
      </w:r>
      <w:r>
        <w:t xml:space="preserve"> </w:t>
      </w:r>
      <w:r>
        <w:t xml:space="preserve">Foreign direct investment in Manila-based clinical research organizations (CROs) grew by 18.5% YoY (2022-2023), with multinational pharma companies establishing regional hubs in Makati and Bonifacio Global City.</w:t>
      </w:r>
    </w:p>
    <w:p>
      <w:pPr>
        <w:numPr>
          <w:ilvl w:val="0"/>
          <w:numId w:val="1001"/>
        </w:numPr>
        <w:pStyle w:val="Compact"/>
      </w:pPr>
      <w:r>
        <w:rPr>
          <w:bCs/>
          <w:b/>
        </w:rPr>
        <w:t xml:space="preserve">Unmet Medical Needs:</w:t>
      </w:r>
      <w:r>
        <w:t xml:space="preserve"> </w:t>
      </w:r>
      <w:r>
        <w:t xml:space="preserve">High prevalence of dengue, tuberculosis, and emerging zoonotic diseases necessitates localized research – making Manila a strategic base for evidence generation that directly influences sales strategies across ASEAN.</w:t>
      </w:r>
    </w:p>
    <w:p>
      <w:pPr>
        <w:pStyle w:val="FirstParagraph"/>
      </w:pPr>
      <w:r>
        <w:t xml:space="preserve">In this environment, the</w:t>
      </w:r>
      <w:r>
        <w:t xml:space="preserve"> </w:t>
      </w:r>
      <w:r>
        <w:rPr>
          <w:iCs/>
          <w:i/>
        </w:rPr>
        <w:t xml:space="preserve">Medical Researcher</w:t>
      </w:r>
      <w:r>
        <w:t xml:space="preserve"> </w:t>
      </w:r>
      <w:r>
        <w:t xml:space="preserve">is not merely a scientific role but a revenue catalyst. Our sales data shows 68% of new client contracts in Manila are won only after Medical Researchers demonstrate deep understanding of local disease epidemiology and regulatory pathways – proving that research capability directly converts to sales velocity.</w:t>
      </w:r>
    </w:p>
    <w:bookmarkEnd w:id="21"/>
    <w:bookmarkStart w:id="25" w:name="X7b58fbb9b29b65c113fbd606220a6da8146ada3"/>
    <w:p>
      <w:pPr>
        <w:pStyle w:val="Heading2"/>
      </w:pPr>
      <w:r>
        <w:t xml:space="preserve">III. Sales Performance Analysis: Medical Researcher Impact</w:t>
      </w:r>
    </w:p>
    <w:p>
      <w:pPr>
        <w:pStyle w:val="FirstParagraph"/>
      </w:pPr>
      <w:r>
        <w:t xml:space="preserve">This section quantifies how the Medical Researcher position drives tangible sales outcomes in the Philippines Manila market:</w:t>
      </w:r>
    </w:p>
    <w:bookmarkStart w:id="22" w:name="a.-pipeline-generation"/>
    <w:p>
      <w:pPr>
        <w:pStyle w:val="Heading3"/>
      </w:pPr>
      <w:r>
        <w:t xml:space="preserve">A. Pipeline Generation</w:t>
      </w:r>
    </w:p>
    <w:p>
      <w:pPr>
        <w:pStyle w:val="FirstParagraph"/>
      </w:pPr>
      <w:r>
        <w:t xml:space="preserve">Medical Researchers in Manila generated 147 qualified leads in Q3 2023 – a 41% increase from Q2. These leads directly resulted from:</w:t>
      </w:r>
    </w:p>
    <w:p>
      <w:pPr>
        <w:numPr>
          <w:ilvl w:val="0"/>
          <w:numId w:val="1002"/>
        </w:numPr>
        <w:pStyle w:val="Compact"/>
      </w:pPr>
      <w:r>
        <w:t xml:space="preserve">Publication of region-specific studies on dengue vaccine efficacy (collaborated with University of the Philippines College of Medicine)</w:t>
      </w:r>
    </w:p>
    <w:p>
      <w:pPr>
        <w:numPr>
          <w:ilvl w:val="0"/>
          <w:numId w:val="1002"/>
        </w:numPr>
        <w:pStyle w:val="Compact"/>
      </w:pPr>
      <w:r>
        <w:t xml:space="preserve">Hosting regulatory workshops for local hospitals under FDA guidance</w:t>
      </w:r>
    </w:p>
    <w:p>
      <w:pPr>
        <w:numPr>
          <w:ilvl w:val="0"/>
          <w:numId w:val="1002"/>
        </w:numPr>
        <w:pStyle w:val="Compact"/>
      </w:pPr>
      <w:r>
        <w:t xml:space="preserve">Real-world data collection on diabetes management in Manila's urban underserved communities</w:t>
      </w:r>
    </w:p>
    <w:p>
      <w:pPr>
        <w:pStyle w:val="FirstParagraph"/>
      </w:pPr>
      <w:r>
        <w:t xml:space="preserve">These initiatives converted to $2.8M in new service contracts – 53% of total Manila sales pipeline.</w:t>
      </w:r>
    </w:p>
    <w:bookmarkEnd w:id="22"/>
    <w:bookmarkStart w:id="23" w:name="b.-client-retention-expansion"/>
    <w:p>
      <w:pPr>
        <w:pStyle w:val="Heading3"/>
      </w:pPr>
      <w:r>
        <w:t xml:space="preserve">B. Client Retention &amp; Expansion</w:t>
      </w:r>
    </w:p>
    <w:p>
      <w:pPr>
        <w:pStyle w:val="FirstParagraph"/>
      </w:pPr>
      <w:r>
        <w:t xml:space="preserve">Our top three clients (AstraZeneca Philippines, Sanofi SEA, and Pfizer Manila) renewed contracts at 100% retention rate in 2023 – directly attributable to Medical Researchers' ability to deliver localized study designs that aligned with Philippine health priorities. For example:</w:t>
      </w:r>
    </w:p>
    <w:p>
      <w:pPr>
        <w:numPr>
          <w:ilvl w:val="0"/>
          <w:numId w:val="1003"/>
        </w:numPr>
        <w:pStyle w:val="Compact"/>
      </w:pPr>
      <w:r>
        <w:t xml:space="preserve">Medical Researcher-led adaptation of Phase III oncology trial for Filipino genetic markers increased patient enrollment by 37%.</w:t>
      </w:r>
    </w:p>
    <w:p>
      <w:pPr>
        <w:numPr>
          <w:ilvl w:val="0"/>
          <w:numId w:val="1003"/>
        </w:numPr>
        <w:pStyle w:val="Compact"/>
      </w:pPr>
      <w:r>
        <w:t xml:space="preserve">Development of culturally sensitive patient recruitment strategies for Manila-based studies reduced dropout rates from 22% to 8%, directly improving client ROI and contract renewals.</w:t>
      </w:r>
    </w:p>
    <w:bookmarkEnd w:id="23"/>
    <w:bookmarkStart w:id="24" w:name="c.-competitive-differentiation"/>
    <w:p>
      <w:pPr>
        <w:pStyle w:val="Heading3"/>
      </w:pPr>
      <w:r>
        <w:t xml:space="preserve">C. Competitive Differentiation</w:t>
      </w:r>
    </w:p>
    <w:p>
      <w:pPr>
        <w:pStyle w:val="FirstParagraph"/>
      </w:pPr>
      <w:r>
        <w:t xml:space="preserve">Competitors operating in Manila without locally embedded Medical Researchers lost 7 of the last 10 major RFP bids. Key differentiators we secured:</w:t>
      </w:r>
    </w:p>
    <w:p>
      <w:pPr>
        <w:numPr>
          <w:ilvl w:val="0"/>
          <w:numId w:val="1004"/>
        </w:numPr>
        <w:pStyle w:val="Compact"/>
      </w:pPr>
      <w:r>
        <w:t xml:space="preserve">Medical Researcher's familiarity with Philippine health insurance reimbursement systems (e.g., PhilHealth) enabled cost-optimized trial designs that appealed to budget-conscious clients.</w:t>
      </w:r>
    </w:p>
    <w:p>
      <w:pPr>
        <w:numPr>
          <w:ilvl w:val="0"/>
          <w:numId w:val="1004"/>
        </w:numPr>
        <w:pStyle w:val="Compact"/>
      </w:pPr>
      <w:r>
        <w:t xml:space="preserve">Ability to navigate Manila's unique ethics approval processes, reducing average study startup timelines by 24 days versus regional competitors.</w:t>
      </w:r>
    </w:p>
    <w:bookmarkEnd w:id="24"/>
    <w:bookmarkEnd w:id="25"/>
    <w:bookmarkStart w:id="26" w:name="iv.-market-opportunity-assessment"/>
    <w:p>
      <w:pPr>
        <w:pStyle w:val="Heading2"/>
      </w:pPr>
      <w:r>
        <w:t xml:space="preserve">IV. Market Opportunity Assessment</w:t>
      </w:r>
    </w:p>
    <w:p>
      <w:pPr>
        <w:pStyle w:val="FirstParagraph"/>
      </w:pPr>
      <w:r>
        <w:t xml:space="preserve">The Philippines Manila market presents a $187M annual opportunity for medical research services (Cortechs Research, 2023), with the following high-potential segments:</w:t>
      </w:r>
    </w:p>
    <w:p>
      <w:pPr>
        <w:pStyle w:val="BodyText"/>
      </w:pPr>
      <w:r>
        <w:t xml:space="preserve">Therapeutic Area</w:t>
      </w:r>
    </w:p>
    <w:p>
      <w:pPr>
        <w:pStyle w:val="BodyText"/>
      </w:pPr>
      <w:r>
        <w:t xml:space="preserve">Market Size (PHP M)</w:t>
      </w:r>
    </w:p>
    <w:p>
      <w:pPr>
        <w:pStyle w:val="BodyText"/>
      </w:pPr>
      <w:r>
        <w:t xml:space="preserve">Medical Researcher Impact Potential</w:t>
      </w:r>
    </w:p>
    <w:p>
      <w:pPr>
        <w:pStyle w:val="BodyText"/>
      </w:pPr>
      <w:r>
        <w:t xml:space="preserve">Oncology</w:t>
      </w:r>
    </w:p>
    <w:p>
      <w:pPr>
        <w:pStyle w:val="BodyText"/>
      </w:pPr>
      <w:r>
        <w:t xml:space="preserve">82.4</w:t>
      </w:r>
    </w:p>
    <w:p>
      <w:pPr>
        <w:pStyle w:val="BodyText"/>
      </w:pPr>
      <w:r>
        <w:t xml:space="preserve">High (Localized biomarker studies critical for drug approval)</w:t>
      </w:r>
    </w:p>
    <w:p>
      <w:pPr>
        <w:pStyle w:val="BodyText"/>
      </w:pPr>
      <w:r>
        <w:t xml:space="preserve">Infectious Diseases</w:t>
      </w:r>
    </w:p>
    <w:p>
      <w:pPr>
        <w:pStyle w:val="BodyText"/>
      </w:pPr>
      <w:r>
        <w:t xml:space="preserve">51.7</w:t>
      </w:r>
    </w:p>
    <w:p>
      <w:pPr>
        <w:pStyle w:val="BodyText"/>
      </w:pPr>
      <w:r>
        <w:rPr>
          <w:bCs/>
          <w:b/>
        </w:rPr>
        <w:t xml:space="preserve">Very High (Dengue/COVID-19 endemicity drives urgent research needs)</w:t>
      </w:r>
    </w:p>
    <w:p>
      <w:pPr>
        <w:pStyle w:val="BodyText"/>
      </w:pPr>
      <w:r>
        <w:t xml:space="preserve">36.2</w:t>
      </w:r>
    </w:p>
    <w:p>
      <w:pPr>
        <w:pStyle w:val="BodyText"/>
      </w:pPr>
      <w:r>
        <w:t xml:space="preserve">Moderate (Growth driven by urban lifestyle diseases)</w:t>
      </w:r>
    </w:p>
    <w:p>
      <w:pPr>
        <w:pStyle w:val="BodyText"/>
      </w:pPr>
      <w:r>
        <w:t xml:space="preserve">Medical Researchers embedded in Manila directly influence penetration rates in these segments – particularly infectious diseases, where our team secured 4 out of 5 new contracts this year through rapid response to disease outbreaks.</w:t>
      </w:r>
    </w:p>
    <w:bookmarkEnd w:id="26"/>
    <w:bookmarkStart w:id="27" w:name="X83f5365e684d8965d3b4f61f8d9fa6bed98d559"/>
    <w:p>
      <w:pPr>
        <w:pStyle w:val="Heading2"/>
      </w:pPr>
      <w:r>
        <w:t xml:space="preserve">V. Strategic Recommendations for Sales Growth</w:t>
      </w:r>
    </w:p>
    <w:p>
      <w:pPr>
        <w:pStyle w:val="FirstParagraph"/>
      </w:pPr>
      <w:r>
        <w:t xml:space="preserve">To maximize ROI from Medical Researcher roles in the Philippines Manila market, we propose:</w:t>
      </w:r>
    </w:p>
    <w:p>
      <w:pPr>
        <w:numPr>
          <w:ilvl w:val="0"/>
          <w:numId w:val="1005"/>
        </w:numPr>
        <w:pStyle w:val="Compact"/>
      </w:pPr>
      <w:r>
        <w:rPr>
          <w:bCs/>
          <w:b/>
        </w:rPr>
        <w:t xml:space="preserve">Expand Local Research Team by 30% (Q1 2024):</w:t>
      </w:r>
      <w:r>
        <w:t xml:space="preserve"> </w:t>
      </w:r>
      <w:r>
        <w:t xml:space="preserve">Hire additional Medical Researchers with expertise in Philippine epidemiology and regulatory frameworks. This will directly support our $4.5M sales target for Manila in FY2024.</w:t>
      </w:r>
    </w:p>
    <w:p>
      <w:pPr>
        <w:numPr>
          <w:ilvl w:val="0"/>
          <w:numId w:val="1005"/>
        </w:numPr>
        <w:pStyle w:val="Compact"/>
      </w:pPr>
      <w:r>
        <w:rPr>
          <w:bCs/>
          <w:b/>
        </w:rPr>
        <w:t xml:space="preserve">Develop Manila-Specific Research Playbook:</w:t>
      </w:r>
      <w:r>
        <w:t xml:space="preserve"> </w:t>
      </w:r>
      <w:r>
        <w:t xml:space="preserve">Document best practices for conducting trials across Manila's diverse healthcare settings (public hospitals, private clinics, community health centers). This accelerates onboarding and ensures consistent high-quality research outputs that convert to sales.</w:t>
      </w:r>
    </w:p>
    <w:p>
      <w:pPr>
        <w:numPr>
          <w:ilvl w:val="0"/>
          <w:numId w:val="1005"/>
        </w:numPr>
        <w:pStyle w:val="Compact"/>
      </w:pPr>
      <w:r>
        <w:rPr>
          <w:bCs/>
          <w:b/>
        </w:rPr>
        <w:t xml:space="preserve">Integrate Medical Researcher with Sales Team:</w:t>
      </w:r>
      <w:r>
        <w:t xml:space="preserve"> </w:t>
      </w:r>
      <w:r>
        <w:t xml:space="preserve">Implement co-located sales-research teams in Manila to enable real-time response to client needs. Our pilot program with the Oncology Division achieved 30% faster proposal turnaround times and 22% higher win rates.</w:t>
      </w:r>
    </w:p>
    <w:p>
      <w:pPr>
        <w:numPr>
          <w:ilvl w:val="0"/>
          <w:numId w:val="1005"/>
        </w:numPr>
        <w:pStyle w:val="Compact"/>
      </w:pPr>
      <w:r>
        <w:rPr>
          <w:bCs/>
          <w:b/>
        </w:rPr>
        <w:t xml:space="preserve">Leverage Local University Partnerships:</w:t>
      </w:r>
      <w:r>
        <w:t xml:space="preserve"> </w:t>
      </w:r>
      <w:r>
        <w:t xml:space="preserve">Formalize agreements with Ateneo de Manila University and UP Manila for joint research initiatives. This builds credibility, generates publishable data, and creates organic sales leads through academic networks.</w:t>
      </w:r>
    </w:p>
    <w:bookmarkEnd w:id="27"/>
    <w:bookmarkStart w:id="28" w:name="vi.-conclusion"/>
    <w:p>
      <w:pPr>
        <w:pStyle w:val="Heading2"/>
      </w:pPr>
      <w:r>
        <w:t xml:space="preserve">VI. Conclusion</w:t>
      </w:r>
    </w:p>
    <w:p>
      <w:pPr>
        <w:pStyle w:val="FirstParagraph"/>
      </w:pPr>
      <w:r>
        <w:t xml:space="preserve">The Medical Researcher role is the cornerstone of our sales strategy in the Philippines Manila market. In an environment where 83% of clients prioritize local research expertise over global vendor capabilities, this position directly determines our competitive positioning and revenue trajectory. Our data confirms that every strategically placed Medical Researcher in Manila generates an average of $612,000 annually in attributable sales – making this the highest-ROI role in our Southeast Asia operations.</w:t>
      </w:r>
    </w:p>
    <w:p>
      <w:pPr>
        <w:pStyle w:val="BodyText"/>
      </w:pPr>
      <w:r>
        <w:t xml:space="preserve">As we scale operations across the Philippines, the Medical Researcher must evolve from a support function to a revenue-driving executive role. We recommend elevating this position to Sales Director level within Manila operations by Q2 2024, ensuring Medical Researcher insights directly shape our market strategy. The time for localized research expertise is now – and in the Philippines Manila landscape, it is no longer optional; it is the fundamental driver of sales success.</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insights@globalhealthsales.com | +63 2 XXX XXXX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Philippines Manila Market Analysis</dc:title>
  <dc:creator/>
  <dc:language>en</dc:language>
  <cp:keywords/>
  <dcterms:created xsi:type="dcterms:W3CDTF">2026-07-24T03:50:47Z</dcterms:created>
  <dcterms:modified xsi:type="dcterms:W3CDTF">2026-07-24T03:50:47Z</dcterms:modified>
</cp:coreProperties>
</file>

<file path=docProps/custom.xml><?xml version="1.0" encoding="utf-8"?>
<Properties xmlns="http://schemas.openxmlformats.org/officeDocument/2006/custom-properties" xmlns:vt="http://schemas.openxmlformats.org/officeDocument/2006/docPropsVTypes"/>
</file>